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2CCB7" w14:textId="77777777" w:rsidR="008F3C9E" w:rsidRPr="00BD6724" w:rsidRDefault="008F3C9E" w:rsidP="008F3C9E">
      <w:pPr>
        <w:spacing w:after="200" w:line="276" w:lineRule="auto"/>
        <w:jc w:val="both"/>
        <w:rPr>
          <w:rFonts w:ascii="Arial" w:eastAsia="Calibri" w:hAnsi="Arial" w:cs="Arial"/>
          <w:b/>
          <w:sz w:val="20"/>
          <w:szCs w:val="20"/>
          <w:u w:val="single"/>
          <w:lang w:val="fr-BE"/>
        </w:rPr>
      </w:pPr>
      <w:r w:rsidRPr="00BD6724">
        <w:rPr>
          <w:rFonts w:ascii="Arial" w:eastAsia="Calibri" w:hAnsi="Arial" w:cs="Arial"/>
          <w:b/>
          <w:sz w:val="20"/>
          <w:szCs w:val="20"/>
          <w:u w:val="single"/>
          <w:lang w:val="fr-BE"/>
        </w:rPr>
        <w:t xml:space="preserve">DD agenda/ questionnaire for </w:t>
      </w:r>
      <w:proofErr w:type="spellStart"/>
      <w:r w:rsidRPr="00BD6724">
        <w:rPr>
          <w:rFonts w:ascii="Arial" w:eastAsia="Calibri" w:hAnsi="Arial" w:cs="Arial"/>
          <w:b/>
          <w:sz w:val="20"/>
          <w:szCs w:val="20"/>
          <w:u w:val="single"/>
          <w:lang w:val="fr-BE"/>
        </w:rPr>
        <w:t>F</w:t>
      </w:r>
      <w:r w:rsidR="00C7633E" w:rsidRPr="00BD6724">
        <w:rPr>
          <w:rFonts w:ascii="Arial" w:eastAsia="Calibri" w:hAnsi="Arial" w:cs="Arial"/>
          <w:b/>
          <w:sz w:val="20"/>
          <w:szCs w:val="20"/>
          <w:u w:val="single"/>
          <w:lang w:val="fr-BE"/>
        </w:rPr>
        <w:t>inancia</w:t>
      </w:r>
      <w:r w:rsidRPr="00BD6724">
        <w:rPr>
          <w:rFonts w:ascii="Arial" w:eastAsia="Calibri" w:hAnsi="Arial" w:cs="Arial"/>
          <w:b/>
          <w:sz w:val="20"/>
          <w:szCs w:val="20"/>
          <w:u w:val="single"/>
          <w:lang w:val="fr-BE"/>
        </w:rPr>
        <w:t>I</w:t>
      </w:r>
      <w:proofErr w:type="spellEnd"/>
      <w:r w:rsidR="00C7633E" w:rsidRPr="00BD6724">
        <w:rPr>
          <w:rFonts w:ascii="Arial" w:eastAsia="Calibri" w:hAnsi="Arial" w:cs="Arial"/>
          <w:b/>
          <w:sz w:val="20"/>
          <w:szCs w:val="20"/>
          <w:u w:val="single"/>
          <w:lang w:val="fr-BE"/>
        </w:rPr>
        <w:t xml:space="preserve"> </w:t>
      </w:r>
      <w:proofErr w:type="spellStart"/>
      <w:r w:rsidR="00C7633E" w:rsidRPr="00BD6724">
        <w:rPr>
          <w:rFonts w:ascii="Arial" w:eastAsia="Calibri" w:hAnsi="Arial" w:cs="Arial"/>
          <w:b/>
          <w:sz w:val="20"/>
          <w:szCs w:val="20"/>
          <w:u w:val="single"/>
          <w:lang w:val="fr-BE"/>
        </w:rPr>
        <w:t>Intermediaries</w:t>
      </w:r>
      <w:proofErr w:type="spellEnd"/>
    </w:p>
    <w:p w14:paraId="2A847940" w14:textId="6E600A10" w:rsidR="00A93A29" w:rsidRDefault="00A93A29" w:rsidP="008F3C9E">
      <w:pPr>
        <w:autoSpaceDE w:val="0"/>
        <w:autoSpaceDN w:val="0"/>
        <w:adjustRightInd w:val="0"/>
        <w:spacing w:after="0" w:line="240" w:lineRule="auto"/>
        <w:jc w:val="both"/>
        <w:rPr>
          <w:rFonts w:ascii="Arial" w:eastAsia="Calibri" w:hAnsi="Arial" w:cs="Arial"/>
          <w:color w:val="000000"/>
          <w:sz w:val="20"/>
          <w:szCs w:val="20"/>
          <w:lang w:val="en-GB"/>
        </w:rPr>
      </w:pPr>
      <w:r>
        <w:rPr>
          <w:rFonts w:ascii="Arial" w:eastAsia="Calibri" w:hAnsi="Arial" w:cs="Arial"/>
          <w:color w:val="000000"/>
          <w:sz w:val="20"/>
          <w:szCs w:val="20"/>
          <w:lang w:val="en-GB"/>
        </w:rPr>
        <w:t>Y</w:t>
      </w:r>
      <w:r w:rsidR="008F3C9E" w:rsidRPr="008F3C9E">
        <w:rPr>
          <w:rFonts w:ascii="Arial" w:eastAsia="Calibri" w:hAnsi="Arial" w:cs="Arial"/>
          <w:color w:val="000000"/>
          <w:sz w:val="20"/>
          <w:szCs w:val="20"/>
          <w:lang w:val="en-GB"/>
        </w:rPr>
        <w:t xml:space="preserve">our institution </w:t>
      </w:r>
      <w:r>
        <w:rPr>
          <w:rFonts w:ascii="Arial" w:eastAsia="Calibri" w:hAnsi="Arial" w:cs="Arial"/>
          <w:color w:val="000000"/>
          <w:sz w:val="20"/>
          <w:szCs w:val="20"/>
          <w:lang w:val="en-GB"/>
        </w:rPr>
        <w:t>i</w:t>
      </w:r>
      <w:r w:rsidR="008F3C9E" w:rsidRPr="008F3C9E">
        <w:rPr>
          <w:rFonts w:ascii="Arial" w:eastAsia="Calibri" w:hAnsi="Arial" w:cs="Arial"/>
          <w:color w:val="000000"/>
          <w:sz w:val="20"/>
          <w:szCs w:val="20"/>
          <w:lang w:val="en-GB"/>
        </w:rPr>
        <w:t xml:space="preserve">s a </w:t>
      </w:r>
      <w:r w:rsidRPr="008F3C9E">
        <w:rPr>
          <w:rFonts w:ascii="Arial" w:eastAsia="Calibri" w:hAnsi="Arial" w:cs="Arial"/>
          <w:color w:val="000000"/>
          <w:sz w:val="20"/>
          <w:szCs w:val="20"/>
          <w:lang w:val="en-GB"/>
        </w:rPr>
        <w:t>potential</w:t>
      </w:r>
      <w:r>
        <w:rPr>
          <w:rFonts w:ascii="Arial" w:eastAsia="Calibri" w:hAnsi="Arial" w:cs="Arial"/>
          <w:color w:val="000000"/>
          <w:sz w:val="20"/>
          <w:szCs w:val="20"/>
          <w:lang w:val="en-GB"/>
        </w:rPr>
        <w:t xml:space="preserve"> participant in a guarantee scheme covering </w:t>
      </w:r>
      <w:r w:rsidR="00BF267A">
        <w:rPr>
          <w:rFonts w:ascii="Arial" w:eastAsia="Calibri" w:hAnsi="Arial" w:cs="Arial"/>
          <w:color w:val="000000"/>
          <w:sz w:val="20"/>
          <w:szCs w:val="20"/>
          <w:lang w:val="en-GB"/>
        </w:rPr>
        <w:t xml:space="preserve">SME loans including green loans to SMEs (the Growth and Sustainability Loan Scheme GSLS) </w:t>
      </w:r>
      <w:r>
        <w:rPr>
          <w:rFonts w:ascii="Arial" w:eastAsia="Calibri" w:hAnsi="Arial" w:cs="Arial"/>
          <w:color w:val="000000"/>
          <w:sz w:val="20"/>
          <w:szCs w:val="20"/>
          <w:lang w:val="en-GB"/>
        </w:rPr>
        <w:t xml:space="preserve">intermediated by SBCI and counter-guaranteed by EIB </w:t>
      </w:r>
      <w:r w:rsidR="00BF267A">
        <w:rPr>
          <w:rFonts w:ascii="Arial" w:eastAsia="Calibri" w:hAnsi="Arial" w:cs="Arial"/>
          <w:color w:val="000000"/>
          <w:sz w:val="20"/>
          <w:szCs w:val="20"/>
          <w:lang w:val="en-GB"/>
        </w:rPr>
        <w:t xml:space="preserve">Group </w:t>
      </w:r>
      <w:r>
        <w:rPr>
          <w:rFonts w:ascii="Arial" w:eastAsia="Calibri" w:hAnsi="Arial" w:cs="Arial"/>
          <w:color w:val="000000"/>
          <w:sz w:val="20"/>
          <w:szCs w:val="20"/>
          <w:lang w:val="en-GB"/>
        </w:rPr>
        <w:t xml:space="preserve"> </w:t>
      </w:r>
    </w:p>
    <w:p w14:paraId="1D488E37" w14:textId="77777777" w:rsidR="00BF267A" w:rsidRDefault="00BF267A" w:rsidP="008F3C9E">
      <w:pPr>
        <w:autoSpaceDE w:val="0"/>
        <w:autoSpaceDN w:val="0"/>
        <w:adjustRightInd w:val="0"/>
        <w:spacing w:after="0" w:line="240" w:lineRule="auto"/>
        <w:jc w:val="both"/>
        <w:rPr>
          <w:rFonts w:ascii="Arial" w:eastAsia="Calibri" w:hAnsi="Arial" w:cs="Arial"/>
          <w:color w:val="000000"/>
          <w:sz w:val="20"/>
          <w:szCs w:val="20"/>
          <w:lang w:val="en-GB"/>
        </w:rPr>
      </w:pPr>
    </w:p>
    <w:p w14:paraId="372C4DE3" w14:textId="38721BAB" w:rsidR="008F3C9E" w:rsidRPr="008F3C9E" w:rsidRDefault="00A93A29" w:rsidP="008F3C9E">
      <w:pPr>
        <w:autoSpaceDE w:val="0"/>
        <w:autoSpaceDN w:val="0"/>
        <w:adjustRightInd w:val="0"/>
        <w:spacing w:after="0" w:line="240" w:lineRule="auto"/>
        <w:jc w:val="both"/>
        <w:rPr>
          <w:rFonts w:ascii="Arial" w:eastAsia="Calibri" w:hAnsi="Arial" w:cs="Arial"/>
          <w:color w:val="000000"/>
          <w:sz w:val="20"/>
          <w:szCs w:val="20"/>
          <w:lang w:val="en-GB"/>
        </w:rPr>
      </w:pPr>
      <w:r>
        <w:rPr>
          <w:rFonts w:ascii="Arial" w:eastAsia="Calibri" w:hAnsi="Arial" w:cs="Arial"/>
          <w:color w:val="000000"/>
          <w:sz w:val="20"/>
          <w:szCs w:val="20"/>
          <w:lang w:val="en-GB"/>
        </w:rPr>
        <w:t xml:space="preserve">In this context </w:t>
      </w:r>
      <w:r w:rsidR="008F3C9E" w:rsidRPr="008F3C9E">
        <w:rPr>
          <w:rFonts w:ascii="Arial" w:eastAsia="Calibri" w:hAnsi="Arial" w:cs="Arial"/>
          <w:color w:val="000000"/>
          <w:sz w:val="20"/>
          <w:szCs w:val="20"/>
          <w:lang w:val="en-GB"/>
        </w:rPr>
        <w:t xml:space="preserve">you are requested to provide detailed information on the subjects specified below, together with any supporting material that you consider appropriate (e.g. power point presentations). </w:t>
      </w:r>
      <w:r w:rsidR="00BF267A">
        <w:rPr>
          <w:rFonts w:ascii="Arial" w:eastAsia="Calibri" w:hAnsi="Arial" w:cs="Arial"/>
          <w:color w:val="000000"/>
          <w:sz w:val="20"/>
          <w:szCs w:val="20"/>
          <w:lang w:val="en-GB"/>
        </w:rPr>
        <w:t xml:space="preserve">The </w:t>
      </w:r>
      <w:r w:rsidR="008F3C9E" w:rsidRPr="008F3C9E">
        <w:rPr>
          <w:rFonts w:ascii="Arial" w:eastAsia="Calibri" w:hAnsi="Arial" w:cs="Arial"/>
          <w:color w:val="000000"/>
          <w:sz w:val="20"/>
          <w:szCs w:val="20"/>
          <w:lang w:val="en-GB"/>
        </w:rPr>
        <w:t>EIB</w:t>
      </w:r>
      <w:r w:rsidR="00BF267A">
        <w:rPr>
          <w:rFonts w:ascii="Arial" w:eastAsia="Calibri" w:hAnsi="Arial" w:cs="Arial"/>
          <w:color w:val="000000"/>
          <w:sz w:val="20"/>
          <w:szCs w:val="20"/>
          <w:lang w:val="en-GB"/>
        </w:rPr>
        <w:t xml:space="preserve"> Group</w:t>
      </w:r>
      <w:r w:rsidR="008F3C9E" w:rsidRPr="008F3C9E">
        <w:rPr>
          <w:rFonts w:ascii="Arial" w:eastAsia="Calibri" w:hAnsi="Arial" w:cs="Arial"/>
          <w:color w:val="000000"/>
          <w:sz w:val="20"/>
          <w:szCs w:val="20"/>
          <w:lang w:val="en-GB"/>
        </w:rPr>
        <w:t xml:space="preserve"> will subsequently carry out a due diligence meeting (format can also be virtual/ via conference call)</w:t>
      </w:r>
    </w:p>
    <w:p w14:paraId="39B4DBCD" w14:textId="77777777" w:rsidR="008F3C9E" w:rsidRPr="008F3C9E" w:rsidRDefault="008F3C9E" w:rsidP="008F3C9E">
      <w:pPr>
        <w:autoSpaceDE w:val="0"/>
        <w:autoSpaceDN w:val="0"/>
        <w:adjustRightInd w:val="0"/>
        <w:spacing w:after="0" w:line="240" w:lineRule="auto"/>
        <w:jc w:val="both"/>
        <w:rPr>
          <w:rFonts w:ascii="Arial" w:eastAsia="Calibri" w:hAnsi="Arial" w:cs="Arial"/>
          <w:color w:val="000000"/>
          <w:sz w:val="20"/>
          <w:szCs w:val="20"/>
          <w:lang w:val="en-GB"/>
        </w:rPr>
      </w:pPr>
    </w:p>
    <w:p w14:paraId="6A61153F" w14:textId="77777777" w:rsidR="008F3C9E" w:rsidRPr="008F3C9E" w:rsidRDefault="008F3C9E" w:rsidP="008F3C9E">
      <w:pPr>
        <w:autoSpaceDE w:val="0"/>
        <w:autoSpaceDN w:val="0"/>
        <w:adjustRightInd w:val="0"/>
        <w:spacing w:after="0" w:line="240" w:lineRule="auto"/>
        <w:jc w:val="both"/>
        <w:rPr>
          <w:rFonts w:ascii="Arial" w:eastAsia="Calibri" w:hAnsi="Arial" w:cs="Arial"/>
          <w:color w:val="000000"/>
          <w:sz w:val="20"/>
          <w:szCs w:val="20"/>
          <w:lang w:val="en-GB"/>
        </w:rPr>
      </w:pPr>
    </w:p>
    <w:p w14:paraId="2979008F" w14:textId="77777777" w:rsidR="008F3C9E" w:rsidRPr="008F3C9E" w:rsidRDefault="008F3C9E" w:rsidP="008F3C9E">
      <w:pPr>
        <w:autoSpaceDE w:val="0"/>
        <w:autoSpaceDN w:val="0"/>
        <w:adjustRightInd w:val="0"/>
        <w:spacing w:after="0" w:line="240" w:lineRule="auto"/>
        <w:jc w:val="both"/>
        <w:rPr>
          <w:rFonts w:ascii="Arial" w:eastAsia="Calibri" w:hAnsi="Arial" w:cs="Arial"/>
          <w:b/>
          <w:color w:val="1F497D"/>
          <w:sz w:val="20"/>
          <w:szCs w:val="20"/>
          <w:u w:val="single"/>
          <w:lang w:val="en-GB"/>
        </w:rPr>
      </w:pPr>
      <w:r w:rsidRPr="008F3C9E">
        <w:rPr>
          <w:rFonts w:ascii="Arial" w:eastAsia="Calibri" w:hAnsi="Arial" w:cs="Arial"/>
          <w:b/>
          <w:color w:val="1F497D"/>
          <w:sz w:val="20"/>
          <w:szCs w:val="20"/>
          <w:u w:val="single"/>
          <w:lang w:val="en-GB"/>
        </w:rPr>
        <w:t>Part 1 - Presentation of the Financial Intermediary, its implementation proposal and origination capacity</w:t>
      </w:r>
    </w:p>
    <w:p w14:paraId="22172C4B" w14:textId="77777777" w:rsidR="008F3C9E" w:rsidRPr="008F3C9E" w:rsidRDefault="008F3C9E" w:rsidP="008F3C9E">
      <w:pPr>
        <w:autoSpaceDE w:val="0"/>
        <w:autoSpaceDN w:val="0"/>
        <w:adjustRightInd w:val="0"/>
        <w:spacing w:after="0" w:line="240" w:lineRule="auto"/>
        <w:jc w:val="both"/>
        <w:rPr>
          <w:rFonts w:ascii="Arial" w:eastAsia="Calibri" w:hAnsi="Arial" w:cs="Arial"/>
          <w:b/>
          <w:color w:val="000000"/>
          <w:sz w:val="20"/>
          <w:szCs w:val="20"/>
          <w:u w:val="single"/>
          <w:lang w:val="en-GB"/>
        </w:rPr>
      </w:pPr>
    </w:p>
    <w:p w14:paraId="6E0AF184" w14:textId="77777777" w:rsidR="008F3C9E" w:rsidRPr="008F3C9E" w:rsidRDefault="008F3C9E" w:rsidP="008F3C9E">
      <w:pPr>
        <w:numPr>
          <w:ilvl w:val="1"/>
          <w:numId w:val="1"/>
        </w:numPr>
        <w:spacing w:after="120" w:line="240" w:lineRule="auto"/>
        <w:ind w:left="275"/>
        <w:jc w:val="both"/>
        <w:rPr>
          <w:rFonts w:ascii="Arial" w:eastAsia="Calibri" w:hAnsi="Arial" w:cs="Arial"/>
          <w:b/>
          <w:sz w:val="20"/>
          <w:szCs w:val="20"/>
          <w:lang w:val="en-GB"/>
        </w:rPr>
      </w:pPr>
      <w:r w:rsidRPr="008F3C9E">
        <w:rPr>
          <w:rFonts w:ascii="Arial" w:eastAsia="Calibri" w:hAnsi="Arial" w:cs="Arial"/>
          <w:b/>
          <w:sz w:val="20"/>
          <w:szCs w:val="20"/>
          <w:lang w:val="en-GB"/>
        </w:rPr>
        <w:t>General information about the Financial Intermediary (FI):</w:t>
      </w:r>
    </w:p>
    <w:p w14:paraId="34E03E9A" w14:textId="77777777" w:rsidR="008F3C9E" w:rsidRPr="008F3C9E" w:rsidRDefault="008F3C9E" w:rsidP="008F3C9E">
      <w:pPr>
        <w:numPr>
          <w:ilvl w:val="0"/>
          <w:numId w:val="1"/>
        </w:numPr>
        <w:spacing w:after="120" w:line="240" w:lineRule="auto"/>
        <w:jc w:val="both"/>
        <w:rPr>
          <w:rFonts w:ascii="Arial" w:eastAsia="Calibri" w:hAnsi="Arial" w:cs="Arial"/>
          <w:sz w:val="20"/>
          <w:szCs w:val="20"/>
          <w:lang w:val="en-GB"/>
        </w:rPr>
      </w:pPr>
      <w:r w:rsidRPr="008F3C9E">
        <w:rPr>
          <w:rFonts w:ascii="Arial" w:eastAsia="Calibri" w:hAnsi="Arial" w:cs="Arial"/>
          <w:sz w:val="20"/>
          <w:szCs w:val="20"/>
          <w:lang w:val="en-GB"/>
        </w:rPr>
        <w:t xml:space="preserve">Brief description of the FI, including brief history, number of employees, shareholder structure, legal status, geographical area of operation, regulatory framework, supervisory authority, external rating (if applicable), etc.  </w:t>
      </w:r>
    </w:p>
    <w:p w14:paraId="19CE7848" w14:textId="77777777" w:rsidR="008F3C9E" w:rsidRPr="008F3C9E" w:rsidRDefault="008F3C9E" w:rsidP="008F3C9E">
      <w:pPr>
        <w:numPr>
          <w:ilvl w:val="1"/>
          <w:numId w:val="1"/>
        </w:numPr>
        <w:spacing w:after="120" w:line="240" w:lineRule="auto"/>
        <w:ind w:left="275"/>
        <w:jc w:val="both"/>
        <w:rPr>
          <w:rFonts w:ascii="Arial" w:eastAsia="Calibri" w:hAnsi="Arial" w:cs="Arial"/>
          <w:b/>
          <w:sz w:val="20"/>
          <w:szCs w:val="20"/>
          <w:lang w:val="en-GB"/>
        </w:rPr>
      </w:pPr>
      <w:r w:rsidRPr="008F3C9E">
        <w:rPr>
          <w:rFonts w:ascii="Arial" w:eastAsia="Calibri" w:hAnsi="Arial" w:cs="Arial"/>
          <w:b/>
          <w:sz w:val="20"/>
          <w:szCs w:val="20"/>
          <w:lang w:val="en-GB"/>
        </w:rPr>
        <w:t>FI’s activity with relevant Final Beneficiaries (RFB)</w:t>
      </w:r>
      <w:r w:rsidRPr="008F3C9E">
        <w:rPr>
          <w:rFonts w:ascii="Arial" w:eastAsia="Calibri" w:hAnsi="Arial" w:cs="Arial"/>
          <w:b/>
          <w:sz w:val="20"/>
          <w:szCs w:val="20"/>
          <w:vertAlign w:val="superscript"/>
          <w:lang w:val="en-GB"/>
        </w:rPr>
        <w:footnoteReference w:id="1"/>
      </w:r>
      <w:r w:rsidRPr="008F3C9E">
        <w:rPr>
          <w:rFonts w:ascii="Arial" w:eastAsia="Calibri" w:hAnsi="Arial" w:cs="Arial"/>
          <w:b/>
          <w:sz w:val="20"/>
          <w:szCs w:val="20"/>
          <w:lang w:val="en-GB"/>
        </w:rPr>
        <w:t>:</w:t>
      </w:r>
    </w:p>
    <w:p w14:paraId="20E92FEF" w14:textId="66719DDA" w:rsidR="008F3C9E" w:rsidRPr="008F3C9E" w:rsidRDefault="008F3C9E" w:rsidP="008F3C9E">
      <w:pPr>
        <w:numPr>
          <w:ilvl w:val="0"/>
          <w:numId w:val="1"/>
        </w:numPr>
        <w:spacing w:after="120" w:line="240" w:lineRule="auto"/>
        <w:jc w:val="both"/>
        <w:rPr>
          <w:rFonts w:ascii="Arial" w:eastAsia="Calibri" w:hAnsi="Arial" w:cs="Arial"/>
          <w:sz w:val="20"/>
          <w:szCs w:val="20"/>
          <w:lang w:val="en-GB"/>
        </w:rPr>
      </w:pPr>
      <w:r w:rsidRPr="008F3C9E">
        <w:rPr>
          <w:rFonts w:ascii="Arial" w:eastAsia="Calibri" w:hAnsi="Arial" w:cs="Arial"/>
          <w:sz w:val="20"/>
          <w:szCs w:val="20"/>
          <w:lang w:val="en-GB"/>
        </w:rPr>
        <w:t xml:space="preserve">Description and key terms and track record of debt financing products offered by the FI to RFB, including purpose, maturity, maximum and average rate of financing, maximum amount, minimum rating (max. risk), etc. </w:t>
      </w:r>
    </w:p>
    <w:p w14:paraId="2CE0AC22" w14:textId="2FC1AB7C" w:rsidR="008F3C9E" w:rsidRPr="008F3C9E" w:rsidRDefault="008F3C9E" w:rsidP="008F3C9E">
      <w:pPr>
        <w:numPr>
          <w:ilvl w:val="0"/>
          <w:numId w:val="1"/>
        </w:numPr>
        <w:spacing w:after="120" w:line="240" w:lineRule="auto"/>
        <w:jc w:val="both"/>
        <w:rPr>
          <w:rFonts w:ascii="Arial" w:eastAsia="Calibri" w:hAnsi="Arial" w:cs="Arial"/>
          <w:sz w:val="20"/>
          <w:szCs w:val="20"/>
          <w:lang w:val="en-GB"/>
        </w:rPr>
      </w:pPr>
      <w:r w:rsidRPr="008F3C9E">
        <w:rPr>
          <w:rFonts w:ascii="Arial" w:eastAsia="Calibri" w:hAnsi="Arial" w:cs="Arial"/>
          <w:sz w:val="20"/>
          <w:szCs w:val="20"/>
          <w:lang w:val="en-GB"/>
        </w:rPr>
        <w:t xml:space="preserve">lending volumes to RFB in the past 2-3 years and description of the composition of the current portfolio of the FI by the targeted client segment(s) (RFB), e.g. by rating (PD) class, by maturity (original and remaining), by secured/unsecured, by nature of collateral, by security coverage, by product type, etc. </w:t>
      </w:r>
    </w:p>
    <w:p w14:paraId="423852B1" w14:textId="0D29F514" w:rsidR="008F3C9E" w:rsidRPr="008F3C9E" w:rsidRDefault="008F3C9E" w:rsidP="008F3C9E">
      <w:pPr>
        <w:numPr>
          <w:ilvl w:val="0"/>
          <w:numId w:val="1"/>
        </w:numPr>
        <w:spacing w:after="120" w:line="240" w:lineRule="auto"/>
        <w:jc w:val="both"/>
        <w:rPr>
          <w:rFonts w:ascii="Arial" w:eastAsia="Calibri" w:hAnsi="Arial" w:cs="Arial"/>
          <w:sz w:val="20"/>
          <w:szCs w:val="20"/>
          <w:lang w:val="en-GB"/>
        </w:rPr>
      </w:pPr>
      <w:r w:rsidRPr="008F3C9E">
        <w:rPr>
          <w:rFonts w:ascii="Arial" w:eastAsia="Calibri" w:hAnsi="Arial" w:cs="Arial"/>
          <w:sz w:val="20"/>
          <w:szCs w:val="20"/>
          <w:lang w:val="en-GB"/>
        </w:rPr>
        <w:t xml:space="preserve">pipeline / business plan / forecasted lending volumes to </w:t>
      </w:r>
      <w:r w:rsidR="00C7633E">
        <w:rPr>
          <w:rFonts w:ascii="Arial" w:eastAsia="Calibri" w:hAnsi="Arial" w:cs="Arial"/>
          <w:sz w:val="20"/>
          <w:szCs w:val="20"/>
          <w:lang w:val="en-GB"/>
        </w:rPr>
        <w:t>R</w:t>
      </w:r>
      <w:r w:rsidRPr="008F3C9E">
        <w:rPr>
          <w:rFonts w:ascii="Arial" w:eastAsia="Calibri" w:hAnsi="Arial" w:cs="Arial"/>
          <w:sz w:val="20"/>
          <w:szCs w:val="20"/>
          <w:lang w:val="en-GB"/>
        </w:rPr>
        <w:t>F</w:t>
      </w:r>
      <w:r w:rsidR="00C7633E">
        <w:rPr>
          <w:rFonts w:ascii="Arial" w:eastAsia="Calibri" w:hAnsi="Arial" w:cs="Arial"/>
          <w:sz w:val="20"/>
          <w:szCs w:val="20"/>
          <w:lang w:val="en-GB"/>
        </w:rPr>
        <w:t>B</w:t>
      </w:r>
      <w:r w:rsidRPr="008F3C9E">
        <w:rPr>
          <w:rFonts w:ascii="Arial" w:eastAsia="Calibri" w:hAnsi="Arial" w:cs="Arial"/>
          <w:sz w:val="20"/>
          <w:szCs w:val="20"/>
          <w:lang w:val="en-GB"/>
        </w:rPr>
        <w:t>s for the next 2 years</w:t>
      </w:r>
    </w:p>
    <w:p w14:paraId="05C92EF0" w14:textId="77777777" w:rsidR="008F3C9E" w:rsidRPr="008F3C9E" w:rsidRDefault="008F3C9E" w:rsidP="008F3C9E">
      <w:pPr>
        <w:numPr>
          <w:ilvl w:val="0"/>
          <w:numId w:val="1"/>
        </w:numPr>
        <w:spacing w:after="120" w:line="240" w:lineRule="auto"/>
        <w:jc w:val="both"/>
        <w:rPr>
          <w:rFonts w:ascii="Arial" w:eastAsia="Calibri" w:hAnsi="Arial" w:cs="Arial"/>
          <w:sz w:val="20"/>
          <w:szCs w:val="20"/>
          <w:lang w:val="en-GB"/>
        </w:rPr>
      </w:pPr>
      <w:r w:rsidRPr="008F3C9E">
        <w:rPr>
          <w:rFonts w:ascii="Arial" w:eastAsia="Calibri" w:hAnsi="Arial" w:cs="Arial"/>
          <w:sz w:val="20"/>
          <w:szCs w:val="20"/>
          <w:lang w:val="en-GB"/>
        </w:rPr>
        <w:t>Impact of COVID-19 on (</w:t>
      </w:r>
      <w:proofErr w:type="spellStart"/>
      <w:r w:rsidRPr="008F3C9E">
        <w:rPr>
          <w:rFonts w:ascii="Arial" w:eastAsia="Calibri" w:hAnsi="Arial" w:cs="Arial"/>
          <w:sz w:val="20"/>
          <w:szCs w:val="20"/>
          <w:lang w:val="en-GB"/>
        </w:rPr>
        <w:t>i</w:t>
      </w:r>
      <w:proofErr w:type="spellEnd"/>
      <w:r w:rsidRPr="008F3C9E">
        <w:rPr>
          <w:rFonts w:ascii="Arial" w:eastAsia="Calibri" w:hAnsi="Arial" w:cs="Arial"/>
          <w:sz w:val="20"/>
          <w:szCs w:val="20"/>
          <w:lang w:val="en-GB"/>
        </w:rPr>
        <w:t>) foreseen RFBs and main measures taken and on (ii) FI</w:t>
      </w:r>
      <w:r w:rsidRPr="008F3C9E">
        <w:rPr>
          <w:rFonts w:ascii="Arial" w:eastAsia="Calibri" w:hAnsi="Arial" w:cs="Arial"/>
          <w:sz w:val="20"/>
          <w:szCs w:val="20"/>
          <w:lang w:val="hu-HU"/>
        </w:rPr>
        <w:t xml:space="preserve">’s (lending) operations in general, NPLs, restructuring, forbearance measures. </w:t>
      </w:r>
    </w:p>
    <w:p w14:paraId="121A707A" w14:textId="77777777" w:rsidR="008F3C9E" w:rsidRPr="008F3C9E" w:rsidRDefault="008F3C9E" w:rsidP="008F3C9E">
      <w:pPr>
        <w:numPr>
          <w:ilvl w:val="1"/>
          <w:numId w:val="1"/>
        </w:numPr>
        <w:spacing w:after="120" w:line="240" w:lineRule="auto"/>
        <w:ind w:left="275"/>
        <w:jc w:val="both"/>
        <w:rPr>
          <w:rFonts w:ascii="Arial" w:eastAsia="Calibri" w:hAnsi="Arial" w:cs="Arial"/>
          <w:sz w:val="20"/>
          <w:szCs w:val="20"/>
          <w:lang w:val="en-GB"/>
        </w:rPr>
      </w:pPr>
      <w:r w:rsidRPr="008F3C9E">
        <w:rPr>
          <w:rFonts w:ascii="Arial" w:eastAsia="Calibri" w:hAnsi="Arial" w:cs="Arial"/>
          <w:b/>
          <w:sz w:val="20"/>
          <w:szCs w:val="20"/>
          <w:lang w:val="en-GB"/>
        </w:rPr>
        <w:t>FI’s competitive position in the market segment of RFB</w:t>
      </w:r>
      <w:r w:rsidRPr="008F3C9E">
        <w:rPr>
          <w:rFonts w:ascii="Arial" w:eastAsia="Calibri" w:hAnsi="Arial" w:cs="Arial"/>
          <w:sz w:val="20"/>
          <w:szCs w:val="20"/>
          <w:lang w:val="en-GB"/>
        </w:rPr>
        <w:t>:</w:t>
      </w:r>
    </w:p>
    <w:p w14:paraId="1B59B025" w14:textId="77777777" w:rsidR="008F3C9E" w:rsidRPr="008F3C9E" w:rsidRDefault="008F3C9E" w:rsidP="008F3C9E">
      <w:pPr>
        <w:numPr>
          <w:ilvl w:val="0"/>
          <w:numId w:val="1"/>
        </w:numPr>
        <w:spacing w:after="120" w:line="240" w:lineRule="auto"/>
        <w:jc w:val="both"/>
        <w:rPr>
          <w:rFonts w:ascii="Arial" w:eastAsia="Calibri" w:hAnsi="Arial" w:cs="Arial"/>
          <w:sz w:val="20"/>
          <w:szCs w:val="20"/>
          <w:lang w:val="en-GB"/>
        </w:rPr>
      </w:pPr>
      <w:r w:rsidRPr="008F3C9E">
        <w:rPr>
          <w:rFonts w:ascii="Arial" w:eastAsia="Calibri" w:hAnsi="Arial" w:cs="Arial"/>
          <w:sz w:val="20"/>
          <w:szCs w:val="20"/>
          <w:lang w:val="en-GB"/>
        </w:rPr>
        <w:t xml:space="preserve">Economic outlook and characteristics of the local client segment market </w:t>
      </w:r>
    </w:p>
    <w:p w14:paraId="5AC73B47" w14:textId="77777777" w:rsidR="008F3C9E" w:rsidRPr="008F3C9E" w:rsidRDefault="008F3C9E" w:rsidP="008F3C9E">
      <w:pPr>
        <w:numPr>
          <w:ilvl w:val="0"/>
          <w:numId w:val="1"/>
        </w:numPr>
        <w:spacing w:after="120" w:line="240" w:lineRule="auto"/>
        <w:jc w:val="both"/>
        <w:rPr>
          <w:rFonts w:ascii="Arial" w:eastAsia="Calibri" w:hAnsi="Arial" w:cs="Arial"/>
          <w:sz w:val="20"/>
          <w:szCs w:val="20"/>
          <w:lang w:val="en-GB"/>
        </w:rPr>
      </w:pPr>
      <w:r w:rsidRPr="008F3C9E">
        <w:rPr>
          <w:rFonts w:ascii="Arial" w:eastAsia="Calibri" w:hAnsi="Arial" w:cs="Arial"/>
          <w:sz w:val="20"/>
          <w:szCs w:val="20"/>
          <w:lang w:val="en-GB"/>
        </w:rPr>
        <w:t xml:space="preserve">market share in the relevant segment, main competitors (trends and outlook) </w:t>
      </w:r>
    </w:p>
    <w:p w14:paraId="283A09B5" w14:textId="77777777" w:rsidR="008F3C9E" w:rsidRPr="008F3C9E" w:rsidRDefault="008F3C9E" w:rsidP="008F3C9E">
      <w:pPr>
        <w:numPr>
          <w:ilvl w:val="0"/>
          <w:numId w:val="1"/>
        </w:numPr>
        <w:spacing w:after="120" w:line="240" w:lineRule="auto"/>
        <w:jc w:val="both"/>
        <w:rPr>
          <w:rFonts w:ascii="Arial" w:eastAsia="Calibri" w:hAnsi="Arial" w:cs="Arial"/>
          <w:sz w:val="20"/>
          <w:szCs w:val="20"/>
          <w:lang w:val="en-GB"/>
        </w:rPr>
      </w:pPr>
      <w:r w:rsidRPr="008F3C9E">
        <w:rPr>
          <w:rFonts w:ascii="Arial" w:eastAsia="Calibri" w:hAnsi="Arial" w:cs="Arial"/>
          <w:sz w:val="20"/>
          <w:szCs w:val="20"/>
          <w:lang w:val="en-GB"/>
        </w:rPr>
        <w:t>Overall strategy (positioning, objectives, strengths and weaknesses, core products)</w:t>
      </w:r>
    </w:p>
    <w:p w14:paraId="55932258" w14:textId="77777777" w:rsidR="008F3C9E" w:rsidRPr="008F3C9E" w:rsidRDefault="008F3C9E" w:rsidP="008F3C9E">
      <w:pPr>
        <w:numPr>
          <w:ilvl w:val="0"/>
          <w:numId w:val="1"/>
        </w:numPr>
        <w:spacing w:after="120" w:line="240" w:lineRule="auto"/>
        <w:jc w:val="both"/>
        <w:rPr>
          <w:rFonts w:ascii="Arial" w:eastAsia="Calibri" w:hAnsi="Arial" w:cs="Arial"/>
          <w:sz w:val="20"/>
          <w:szCs w:val="20"/>
          <w:lang w:val="en-GB"/>
        </w:rPr>
      </w:pPr>
      <w:r w:rsidRPr="008F3C9E">
        <w:rPr>
          <w:rFonts w:ascii="Arial" w:eastAsia="Calibri" w:hAnsi="Arial" w:cs="Arial"/>
          <w:sz w:val="20"/>
          <w:szCs w:val="20"/>
          <w:lang w:val="en-GB"/>
        </w:rPr>
        <w:t>Lending volumes (outstanding and new annual lending) historically and budgeted for the future for the relevant client segments</w:t>
      </w:r>
    </w:p>
    <w:p w14:paraId="08996FA6" w14:textId="77777777" w:rsidR="008F3C9E" w:rsidRPr="008F3C9E" w:rsidRDefault="008F3C9E" w:rsidP="008F3C9E">
      <w:pPr>
        <w:numPr>
          <w:ilvl w:val="1"/>
          <w:numId w:val="1"/>
        </w:numPr>
        <w:spacing w:after="120" w:line="240" w:lineRule="auto"/>
        <w:ind w:left="275"/>
        <w:jc w:val="both"/>
        <w:rPr>
          <w:rFonts w:ascii="Arial" w:eastAsia="Calibri" w:hAnsi="Arial" w:cs="Arial"/>
          <w:sz w:val="20"/>
          <w:szCs w:val="20"/>
          <w:lang w:val="en-GB"/>
        </w:rPr>
      </w:pPr>
      <w:r w:rsidRPr="008F3C9E">
        <w:rPr>
          <w:rFonts w:ascii="Arial" w:eastAsia="Calibri" w:hAnsi="Arial" w:cs="Arial"/>
          <w:b/>
          <w:sz w:val="20"/>
          <w:szCs w:val="20"/>
          <w:lang w:val="en-GB"/>
        </w:rPr>
        <w:t>FI’s experience with, if applicable</w:t>
      </w:r>
      <w:r w:rsidRPr="008F3C9E">
        <w:rPr>
          <w:rFonts w:ascii="Arial" w:eastAsia="Calibri" w:hAnsi="Arial" w:cs="Arial"/>
          <w:sz w:val="20"/>
          <w:szCs w:val="20"/>
          <w:lang w:val="en-GB"/>
        </w:rPr>
        <w:t>:</w:t>
      </w:r>
    </w:p>
    <w:p w14:paraId="015CF971" w14:textId="77777777" w:rsidR="00C7633E" w:rsidRDefault="00C7633E" w:rsidP="008F3C9E">
      <w:pPr>
        <w:numPr>
          <w:ilvl w:val="0"/>
          <w:numId w:val="1"/>
        </w:numPr>
        <w:spacing w:after="120" w:line="240" w:lineRule="auto"/>
        <w:jc w:val="both"/>
        <w:rPr>
          <w:rFonts w:ascii="Arial" w:eastAsia="Calibri" w:hAnsi="Arial" w:cs="Arial"/>
          <w:sz w:val="20"/>
          <w:szCs w:val="20"/>
          <w:lang w:val="en-GB"/>
        </w:rPr>
      </w:pPr>
      <w:r>
        <w:rPr>
          <w:rFonts w:ascii="Arial" w:eastAsia="Calibri" w:hAnsi="Arial" w:cs="Arial"/>
          <w:sz w:val="20"/>
          <w:szCs w:val="20"/>
          <w:lang w:val="en-GB"/>
        </w:rPr>
        <w:t>SBCI’s products; and or</w:t>
      </w:r>
    </w:p>
    <w:p w14:paraId="66DA1820" w14:textId="77777777" w:rsidR="008F3C9E" w:rsidRPr="008F3C9E" w:rsidRDefault="008F3C9E" w:rsidP="008F3C9E">
      <w:pPr>
        <w:numPr>
          <w:ilvl w:val="0"/>
          <w:numId w:val="1"/>
        </w:numPr>
        <w:spacing w:after="120" w:line="240" w:lineRule="auto"/>
        <w:jc w:val="both"/>
        <w:rPr>
          <w:rFonts w:ascii="Arial" w:eastAsia="Calibri" w:hAnsi="Arial" w:cs="Arial"/>
          <w:sz w:val="20"/>
          <w:szCs w:val="20"/>
          <w:lang w:val="en-GB"/>
        </w:rPr>
      </w:pPr>
      <w:r w:rsidRPr="008F3C9E">
        <w:rPr>
          <w:rFonts w:ascii="Arial" w:eastAsia="Calibri" w:hAnsi="Arial" w:cs="Arial"/>
          <w:sz w:val="20"/>
          <w:szCs w:val="20"/>
          <w:lang w:val="en-GB"/>
        </w:rPr>
        <w:t>EIB/EIF risk-sharing products</w:t>
      </w:r>
      <w:r w:rsidR="00C7633E">
        <w:rPr>
          <w:rFonts w:ascii="Arial" w:eastAsia="Calibri" w:hAnsi="Arial" w:cs="Arial"/>
          <w:sz w:val="20"/>
          <w:szCs w:val="20"/>
          <w:lang w:val="en-GB"/>
        </w:rPr>
        <w:t xml:space="preserve"> (also intermediated via SBCI)</w:t>
      </w:r>
      <w:r w:rsidRPr="008F3C9E">
        <w:rPr>
          <w:rFonts w:ascii="Arial" w:eastAsia="Calibri" w:hAnsi="Arial" w:cs="Arial"/>
          <w:sz w:val="20"/>
          <w:szCs w:val="20"/>
          <w:lang w:val="en-GB"/>
        </w:rPr>
        <w:t>; and/or</w:t>
      </w:r>
    </w:p>
    <w:p w14:paraId="57DC66AE" w14:textId="77777777" w:rsidR="008F3C9E" w:rsidRPr="008F3C9E" w:rsidRDefault="008F3C9E" w:rsidP="008F3C9E">
      <w:pPr>
        <w:numPr>
          <w:ilvl w:val="0"/>
          <w:numId w:val="1"/>
        </w:numPr>
        <w:spacing w:after="120" w:line="240" w:lineRule="auto"/>
        <w:jc w:val="both"/>
        <w:rPr>
          <w:rFonts w:ascii="Arial" w:eastAsia="Calibri" w:hAnsi="Arial" w:cs="Arial"/>
          <w:sz w:val="20"/>
          <w:szCs w:val="20"/>
          <w:lang w:val="en-GB"/>
        </w:rPr>
      </w:pPr>
      <w:r w:rsidRPr="008F3C9E">
        <w:rPr>
          <w:rFonts w:ascii="Arial" w:eastAsia="Calibri" w:hAnsi="Arial" w:cs="Arial"/>
          <w:sz w:val="20"/>
          <w:szCs w:val="20"/>
          <w:lang w:val="en-GB"/>
        </w:rPr>
        <w:t>other EIB/EIF products; and/or</w:t>
      </w:r>
    </w:p>
    <w:p w14:paraId="3D5C0B76" w14:textId="218FED94" w:rsidR="008F3C9E" w:rsidRPr="008F3C9E" w:rsidRDefault="008F3C9E" w:rsidP="008F3C9E">
      <w:pPr>
        <w:numPr>
          <w:ilvl w:val="0"/>
          <w:numId w:val="1"/>
        </w:numPr>
        <w:spacing w:after="120" w:line="240" w:lineRule="auto"/>
        <w:jc w:val="both"/>
        <w:rPr>
          <w:rFonts w:ascii="Arial" w:eastAsia="Calibri" w:hAnsi="Arial" w:cs="Arial"/>
          <w:sz w:val="20"/>
          <w:szCs w:val="20"/>
          <w:lang w:val="en-GB"/>
        </w:rPr>
      </w:pPr>
      <w:r w:rsidRPr="008F3C9E">
        <w:rPr>
          <w:rFonts w:ascii="Arial" w:eastAsia="Calibri" w:hAnsi="Arial" w:cs="Arial"/>
          <w:sz w:val="20"/>
          <w:szCs w:val="20"/>
          <w:lang w:val="en-GB"/>
        </w:rPr>
        <w:t xml:space="preserve">other relevant experience in cooperating with other international financial institutions (IFI) such as </w:t>
      </w:r>
      <w:proofErr w:type="spellStart"/>
      <w:r w:rsidRPr="008F3C9E">
        <w:rPr>
          <w:rFonts w:ascii="Arial" w:eastAsia="Calibri" w:hAnsi="Arial" w:cs="Arial"/>
          <w:sz w:val="20"/>
          <w:szCs w:val="20"/>
          <w:lang w:val="en-GB"/>
        </w:rPr>
        <w:t>CoEB</w:t>
      </w:r>
      <w:proofErr w:type="spellEnd"/>
      <w:r w:rsidRPr="008F3C9E">
        <w:rPr>
          <w:rFonts w:ascii="Arial" w:eastAsia="Calibri" w:hAnsi="Arial" w:cs="Arial"/>
          <w:sz w:val="20"/>
          <w:szCs w:val="20"/>
          <w:lang w:val="en-GB"/>
        </w:rPr>
        <w:t xml:space="preserve"> and/or with national/regional promotional banks or institutions; and/or in managing public funds on behalf of third parties or benefitting from national/regional guarantee funds or subsidies</w:t>
      </w:r>
    </w:p>
    <w:p w14:paraId="0F307713" w14:textId="77777777" w:rsidR="008F3C9E" w:rsidRPr="008F3C9E" w:rsidRDefault="008F3C9E" w:rsidP="008F3C9E">
      <w:pPr>
        <w:numPr>
          <w:ilvl w:val="0"/>
          <w:numId w:val="1"/>
        </w:numPr>
        <w:spacing w:after="120" w:line="240" w:lineRule="auto"/>
        <w:jc w:val="both"/>
        <w:rPr>
          <w:rFonts w:ascii="Arial" w:eastAsia="Calibri" w:hAnsi="Arial" w:cs="Arial"/>
          <w:sz w:val="20"/>
          <w:szCs w:val="20"/>
          <w:lang w:val="en-GB"/>
        </w:rPr>
      </w:pPr>
      <w:r w:rsidRPr="008F3C9E">
        <w:rPr>
          <w:rFonts w:ascii="Arial" w:eastAsia="Calibri" w:hAnsi="Arial" w:cs="Arial"/>
          <w:sz w:val="20"/>
          <w:szCs w:val="20"/>
          <w:lang w:val="en-GB"/>
        </w:rPr>
        <w:lastRenderedPageBreak/>
        <w:t>FI’s experience and projects/resources (including committed to be deployed) in the context of recent national measures approved due to the COVID-19 crisis</w:t>
      </w:r>
    </w:p>
    <w:p w14:paraId="5154D923" w14:textId="77777777" w:rsidR="008F3C9E" w:rsidRPr="008F3C9E" w:rsidRDefault="008F3C9E" w:rsidP="008F3C9E">
      <w:pPr>
        <w:spacing w:after="120" w:line="240" w:lineRule="auto"/>
        <w:ind w:left="275"/>
        <w:jc w:val="both"/>
        <w:rPr>
          <w:rFonts w:ascii="Arial" w:eastAsia="Calibri" w:hAnsi="Arial" w:cs="Arial"/>
          <w:sz w:val="20"/>
          <w:szCs w:val="20"/>
          <w:lang w:val="en-GB"/>
        </w:rPr>
      </w:pPr>
    </w:p>
    <w:p w14:paraId="3F1AE743" w14:textId="51F587C5" w:rsidR="008F3C9E" w:rsidRPr="008F3C9E" w:rsidRDefault="008F3C9E" w:rsidP="008F3C9E">
      <w:pPr>
        <w:numPr>
          <w:ilvl w:val="1"/>
          <w:numId w:val="1"/>
        </w:numPr>
        <w:spacing w:after="120" w:line="240" w:lineRule="auto"/>
        <w:ind w:left="275"/>
        <w:jc w:val="both"/>
        <w:rPr>
          <w:rFonts w:ascii="Arial" w:eastAsia="Calibri" w:hAnsi="Arial" w:cs="Arial"/>
          <w:sz w:val="20"/>
          <w:szCs w:val="20"/>
          <w:lang w:val="en-GB"/>
        </w:rPr>
      </w:pPr>
      <w:r w:rsidRPr="008F3C9E">
        <w:rPr>
          <w:rFonts w:ascii="Arial" w:eastAsia="Calibri" w:hAnsi="Arial" w:cs="Arial"/>
          <w:b/>
          <w:sz w:val="20"/>
          <w:szCs w:val="20"/>
          <w:lang w:val="en-GB"/>
        </w:rPr>
        <w:t>FI’s implementation proposal for the</w:t>
      </w:r>
      <w:r w:rsidR="007E4808">
        <w:rPr>
          <w:rFonts w:ascii="Arial" w:eastAsia="Calibri" w:hAnsi="Arial" w:cs="Arial"/>
          <w:b/>
          <w:sz w:val="20"/>
          <w:szCs w:val="20"/>
          <w:lang w:val="en-GB"/>
        </w:rPr>
        <w:t xml:space="preserve"> GSLS</w:t>
      </w:r>
      <w:r w:rsidRPr="008F3C9E">
        <w:rPr>
          <w:rFonts w:ascii="Arial" w:eastAsia="Calibri" w:hAnsi="Arial" w:cs="Arial"/>
          <w:b/>
          <w:sz w:val="20"/>
          <w:szCs w:val="20"/>
          <w:lang w:val="en-GB"/>
        </w:rPr>
        <w:t>: FI’s deployment strategy:</w:t>
      </w:r>
    </w:p>
    <w:p w14:paraId="0626BD20" w14:textId="77777777" w:rsidR="008F3C9E" w:rsidRPr="008F3C9E" w:rsidRDefault="008F3C9E" w:rsidP="008F3C9E">
      <w:pPr>
        <w:numPr>
          <w:ilvl w:val="0"/>
          <w:numId w:val="1"/>
        </w:numPr>
        <w:spacing w:after="120" w:line="240" w:lineRule="auto"/>
        <w:jc w:val="both"/>
        <w:rPr>
          <w:rFonts w:ascii="Arial" w:eastAsia="Calibri" w:hAnsi="Arial" w:cs="Arial"/>
          <w:sz w:val="20"/>
          <w:szCs w:val="20"/>
          <w:lang w:val="en-GB"/>
        </w:rPr>
      </w:pPr>
      <w:r w:rsidRPr="008F3C9E">
        <w:rPr>
          <w:rFonts w:ascii="Arial" w:eastAsia="Calibri" w:hAnsi="Arial" w:cs="Arial"/>
          <w:sz w:val="20"/>
          <w:szCs w:val="20"/>
          <w:lang w:val="en-GB"/>
        </w:rPr>
        <w:t>strategy for the relevant target client segments (RFB)</w:t>
      </w:r>
      <w:r w:rsidR="00A93A29">
        <w:rPr>
          <w:rFonts w:ascii="Arial" w:eastAsia="Calibri" w:hAnsi="Arial" w:cs="Arial"/>
          <w:sz w:val="20"/>
          <w:szCs w:val="20"/>
          <w:lang w:val="en-GB"/>
        </w:rPr>
        <w:t xml:space="preserve"> </w:t>
      </w:r>
      <w:r w:rsidRPr="008F3C9E">
        <w:rPr>
          <w:rFonts w:ascii="Arial" w:eastAsia="Calibri" w:hAnsi="Arial" w:cs="Arial"/>
          <w:sz w:val="20"/>
          <w:szCs w:val="20"/>
          <w:lang w:val="en-GB"/>
        </w:rPr>
        <w:t xml:space="preserve">where possible including information on </w:t>
      </w:r>
      <w:r w:rsidR="00146673">
        <w:rPr>
          <w:rFonts w:ascii="Arial" w:eastAsia="Calibri" w:hAnsi="Arial" w:cs="Arial"/>
          <w:sz w:val="20"/>
          <w:szCs w:val="20"/>
          <w:lang w:val="en-GB"/>
        </w:rPr>
        <w:t>regional splits</w:t>
      </w:r>
      <w:r w:rsidRPr="008F3C9E">
        <w:rPr>
          <w:rFonts w:ascii="Arial" w:eastAsia="Calibri" w:hAnsi="Arial" w:cs="Arial"/>
          <w:sz w:val="20"/>
          <w:szCs w:val="20"/>
          <w:lang w:val="en-GB"/>
        </w:rPr>
        <w:t xml:space="preserve">, </w:t>
      </w:r>
      <w:r w:rsidR="00146673">
        <w:rPr>
          <w:rFonts w:ascii="Arial" w:eastAsia="Calibri" w:hAnsi="Arial" w:cs="Arial"/>
          <w:sz w:val="20"/>
          <w:szCs w:val="20"/>
          <w:lang w:val="en-GB"/>
        </w:rPr>
        <w:t xml:space="preserve">credit assessment tools and resulting </w:t>
      </w:r>
      <w:r w:rsidRPr="008F3C9E">
        <w:rPr>
          <w:rFonts w:ascii="Arial" w:eastAsia="Calibri" w:hAnsi="Arial" w:cs="Arial"/>
          <w:sz w:val="20"/>
          <w:szCs w:val="20"/>
          <w:lang w:val="en-GB"/>
        </w:rPr>
        <w:t>ratings, products, and lending volumes to be included in the guaranteed portfolio</w:t>
      </w:r>
    </w:p>
    <w:p w14:paraId="1732288E" w14:textId="77777777" w:rsidR="008F3C9E" w:rsidRPr="008F3C9E" w:rsidRDefault="008F3C9E" w:rsidP="008F3C9E">
      <w:pPr>
        <w:numPr>
          <w:ilvl w:val="0"/>
          <w:numId w:val="1"/>
        </w:numPr>
        <w:spacing w:after="120" w:line="240" w:lineRule="auto"/>
        <w:jc w:val="both"/>
        <w:rPr>
          <w:rFonts w:ascii="Arial" w:eastAsia="Calibri" w:hAnsi="Arial" w:cs="Arial"/>
          <w:sz w:val="20"/>
          <w:szCs w:val="20"/>
          <w:lang w:val="en-GB"/>
        </w:rPr>
      </w:pPr>
      <w:r w:rsidRPr="008F3C9E">
        <w:rPr>
          <w:rFonts w:ascii="Arial" w:eastAsia="Calibri" w:hAnsi="Arial" w:cs="Arial"/>
          <w:sz w:val="20"/>
          <w:szCs w:val="20"/>
          <w:lang w:val="en-GB"/>
        </w:rPr>
        <w:t>timing required to build the new Portfolio with indicative quarterly forecasts</w:t>
      </w:r>
    </w:p>
    <w:p w14:paraId="7A4A7E57" w14:textId="77777777" w:rsidR="008F3C9E" w:rsidRPr="008F3C9E" w:rsidRDefault="008F3C9E" w:rsidP="008F3C9E">
      <w:pPr>
        <w:numPr>
          <w:ilvl w:val="0"/>
          <w:numId w:val="1"/>
        </w:numPr>
        <w:spacing w:after="120" w:line="240" w:lineRule="auto"/>
        <w:jc w:val="both"/>
        <w:rPr>
          <w:rFonts w:ascii="Arial" w:eastAsia="Calibri" w:hAnsi="Arial" w:cs="Arial"/>
          <w:sz w:val="20"/>
          <w:szCs w:val="20"/>
          <w:lang w:val="en-GB"/>
        </w:rPr>
      </w:pPr>
      <w:r w:rsidRPr="008F3C9E">
        <w:rPr>
          <w:rFonts w:ascii="Arial" w:eastAsia="Calibri" w:hAnsi="Arial" w:cs="Arial"/>
          <w:sz w:val="20"/>
          <w:szCs w:val="20"/>
          <w:lang w:val="en-GB"/>
        </w:rPr>
        <w:t xml:space="preserve">indication of FI’s business lines to be involved in the process, indication of FTEs and roles, strategy for deployment (centralised vs. decentralised) </w:t>
      </w:r>
    </w:p>
    <w:p w14:paraId="16DDB6A2" w14:textId="77777777" w:rsidR="008F3C9E" w:rsidRPr="008F3C9E" w:rsidRDefault="008F3C9E" w:rsidP="008F3C9E">
      <w:pPr>
        <w:numPr>
          <w:ilvl w:val="0"/>
          <w:numId w:val="1"/>
        </w:numPr>
        <w:spacing w:after="120" w:line="240" w:lineRule="auto"/>
        <w:jc w:val="both"/>
        <w:rPr>
          <w:rFonts w:ascii="Arial" w:eastAsia="Calibri" w:hAnsi="Arial" w:cs="Arial"/>
          <w:sz w:val="20"/>
          <w:szCs w:val="20"/>
          <w:lang w:val="en-GB"/>
        </w:rPr>
      </w:pPr>
      <w:r w:rsidRPr="008F3C9E">
        <w:rPr>
          <w:rFonts w:ascii="Arial" w:eastAsia="Calibri" w:hAnsi="Arial" w:cs="Arial"/>
          <w:sz w:val="20"/>
          <w:szCs w:val="20"/>
          <w:lang w:val="en-GB"/>
        </w:rPr>
        <w:t>contribution toward increasing the multiplier effect (through the replenishment or additional portfolio features)</w:t>
      </w:r>
    </w:p>
    <w:p w14:paraId="52B43566" w14:textId="77777777" w:rsidR="008F3C9E" w:rsidRPr="008F3C9E" w:rsidRDefault="008F3C9E" w:rsidP="008F3C9E">
      <w:pPr>
        <w:autoSpaceDE w:val="0"/>
        <w:autoSpaceDN w:val="0"/>
        <w:adjustRightInd w:val="0"/>
        <w:spacing w:after="0" w:line="240" w:lineRule="auto"/>
        <w:jc w:val="both"/>
        <w:rPr>
          <w:rFonts w:ascii="Arial" w:eastAsia="Calibri" w:hAnsi="Arial" w:cs="Arial"/>
          <w:color w:val="000000"/>
          <w:sz w:val="20"/>
          <w:szCs w:val="20"/>
          <w:lang w:val="en-GB"/>
        </w:rPr>
      </w:pPr>
      <w:r w:rsidRPr="008F3C9E">
        <w:rPr>
          <w:rFonts w:ascii="Arial" w:eastAsia="Calibri" w:hAnsi="Arial" w:cs="Arial"/>
          <w:color w:val="000000"/>
          <w:sz w:val="20"/>
          <w:szCs w:val="20"/>
          <w:u w:val="single"/>
          <w:lang w:val="en-GB"/>
        </w:rPr>
        <w:t>Supporting documents</w:t>
      </w:r>
      <w:r w:rsidRPr="008F3C9E">
        <w:rPr>
          <w:rFonts w:ascii="Arial" w:eastAsia="Calibri" w:hAnsi="Arial" w:cs="Arial"/>
          <w:color w:val="000000"/>
          <w:sz w:val="20"/>
          <w:szCs w:val="20"/>
          <w:lang w:val="en-GB"/>
        </w:rPr>
        <w:t xml:space="preserve">: </w:t>
      </w:r>
    </w:p>
    <w:p w14:paraId="66716E02" w14:textId="77777777" w:rsidR="008F3C9E" w:rsidRPr="008F3C9E" w:rsidRDefault="008F3C9E" w:rsidP="008F3C9E">
      <w:pPr>
        <w:numPr>
          <w:ilvl w:val="0"/>
          <w:numId w:val="1"/>
        </w:numPr>
        <w:spacing w:after="120" w:line="240" w:lineRule="auto"/>
        <w:jc w:val="both"/>
        <w:rPr>
          <w:rFonts w:ascii="Arial" w:eastAsia="Calibri" w:hAnsi="Arial" w:cs="Arial"/>
          <w:sz w:val="20"/>
          <w:szCs w:val="20"/>
          <w:lang w:val="en-GB"/>
        </w:rPr>
      </w:pPr>
      <w:r w:rsidRPr="008F3C9E">
        <w:rPr>
          <w:rFonts w:ascii="Arial" w:eastAsia="Calibri" w:hAnsi="Arial" w:cs="Arial"/>
          <w:sz w:val="20"/>
          <w:szCs w:val="20"/>
          <w:lang w:val="en-GB"/>
        </w:rPr>
        <w:t xml:space="preserve">Annual reports for the last available 3 years </w:t>
      </w:r>
    </w:p>
    <w:p w14:paraId="28962868" w14:textId="77777777" w:rsidR="008F3C9E" w:rsidRPr="008F3C9E" w:rsidRDefault="008F3C9E" w:rsidP="008F3C9E">
      <w:pPr>
        <w:numPr>
          <w:ilvl w:val="0"/>
          <w:numId w:val="1"/>
        </w:numPr>
        <w:spacing w:after="120" w:line="240" w:lineRule="auto"/>
        <w:jc w:val="both"/>
        <w:rPr>
          <w:rFonts w:ascii="Arial" w:eastAsia="Calibri" w:hAnsi="Arial" w:cs="Arial"/>
          <w:sz w:val="20"/>
          <w:szCs w:val="20"/>
          <w:lang w:val="en-GB"/>
        </w:rPr>
      </w:pPr>
      <w:r w:rsidRPr="008F3C9E">
        <w:rPr>
          <w:rFonts w:ascii="Arial" w:eastAsia="Calibri" w:hAnsi="Arial" w:cs="Arial"/>
          <w:sz w:val="20"/>
          <w:szCs w:val="20"/>
          <w:lang w:val="en-GB"/>
        </w:rPr>
        <w:t>Reports of rating agencies (if available)</w:t>
      </w:r>
    </w:p>
    <w:p w14:paraId="2398E3EB" w14:textId="7ABDC3C6" w:rsidR="008F3C9E" w:rsidRPr="008F3C9E" w:rsidRDefault="008F3C9E" w:rsidP="008F3C9E">
      <w:pPr>
        <w:numPr>
          <w:ilvl w:val="0"/>
          <w:numId w:val="1"/>
        </w:numPr>
        <w:spacing w:after="120" w:line="240" w:lineRule="auto"/>
        <w:jc w:val="both"/>
        <w:rPr>
          <w:rFonts w:ascii="Arial" w:eastAsia="Calibri" w:hAnsi="Arial" w:cs="Arial"/>
          <w:bCs/>
          <w:sz w:val="20"/>
          <w:szCs w:val="20"/>
          <w:u w:val="single"/>
          <w:lang w:val="en-GB"/>
        </w:rPr>
      </w:pPr>
      <w:r w:rsidRPr="008F3C9E">
        <w:rPr>
          <w:rFonts w:ascii="Arial" w:eastAsia="Calibri" w:hAnsi="Arial" w:cs="Arial"/>
          <w:sz w:val="20"/>
          <w:szCs w:val="20"/>
          <w:lang w:val="en-GB"/>
        </w:rPr>
        <w:t>Any other document requested</w:t>
      </w:r>
      <w:r w:rsidRPr="008F3C9E">
        <w:rPr>
          <w:rFonts w:ascii="Arial" w:eastAsia="Calibri" w:hAnsi="Arial" w:cs="Arial"/>
          <w:sz w:val="20"/>
          <w:szCs w:val="20"/>
        </w:rPr>
        <w:t xml:space="preserve"> by EIB </w:t>
      </w:r>
      <w:r w:rsidR="00280A5B">
        <w:rPr>
          <w:rFonts w:ascii="Arial" w:eastAsia="Calibri" w:hAnsi="Arial" w:cs="Arial"/>
          <w:sz w:val="20"/>
          <w:szCs w:val="20"/>
        </w:rPr>
        <w:t>G</w:t>
      </w:r>
      <w:r w:rsidR="00601DFD">
        <w:rPr>
          <w:rFonts w:ascii="Arial" w:eastAsia="Calibri" w:hAnsi="Arial" w:cs="Arial"/>
          <w:sz w:val="20"/>
          <w:szCs w:val="20"/>
        </w:rPr>
        <w:t xml:space="preserve">roup </w:t>
      </w:r>
      <w:r w:rsidRPr="008F3C9E">
        <w:rPr>
          <w:rFonts w:ascii="Arial" w:eastAsia="Calibri" w:hAnsi="Arial" w:cs="Arial"/>
          <w:sz w:val="20"/>
          <w:szCs w:val="20"/>
        </w:rPr>
        <w:t>in the context of the due diligence</w:t>
      </w:r>
    </w:p>
    <w:p w14:paraId="3B6C6272" w14:textId="77777777" w:rsidR="008F3C9E" w:rsidRPr="008F3C9E" w:rsidRDefault="008F3C9E" w:rsidP="008F3C9E">
      <w:pPr>
        <w:autoSpaceDE w:val="0"/>
        <w:autoSpaceDN w:val="0"/>
        <w:adjustRightInd w:val="0"/>
        <w:spacing w:after="0" w:line="240" w:lineRule="auto"/>
        <w:jc w:val="both"/>
        <w:rPr>
          <w:rFonts w:ascii="Arial" w:eastAsia="Calibri" w:hAnsi="Arial" w:cs="Arial"/>
          <w:color w:val="000000"/>
          <w:sz w:val="20"/>
          <w:szCs w:val="20"/>
          <w:lang w:val="en-GB"/>
        </w:rPr>
      </w:pPr>
    </w:p>
    <w:p w14:paraId="48099278" w14:textId="77777777" w:rsidR="008F3C9E" w:rsidRPr="008F3C9E" w:rsidRDefault="008F3C9E" w:rsidP="008F3C9E">
      <w:pPr>
        <w:autoSpaceDE w:val="0"/>
        <w:autoSpaceDN w:val="0"/>
        <w:adjustRightInd w:val="0"/>
        <w:spacing w:after="0" w:line="240" w:lineRule="auto"/>
        <w:jc w:val="both"/>
        <w:rPr>
          <w:rFonts w:ascii="Arial" w:eastAsia="Calibri" w:hAnsi="Arial" w:cs="Arial"/>
          <w:b/>
          <w:color w:val="1F497D"/>
          <w:sz w:val="20"/>
          <w:szCs w:val="20"/>
          <w:u w:val="single"/>
          <w:lang w:val="en-GB"/>
        </w:rPr>
      </w:pPr>
      <w:r w:rsidRPr="008F3C9E">
        <w:rPr>
          <w:rFonts w:ascii="Arial" w:eastAsia="Calibri" w:hAnsi="Arial" w:cs="Arial"/>
          <w:b/>
          <w:color w:val="1F497D"/>
          <w:sz w:val="20"/>
          <w:szCs w:val="20"/>
          <w:u w:val="single"/>
          <w:lang w:val="en-GB"/>
        </w:rPr>
        <w:t xml:space="preserve">Part 2 - FI’s results and financial standing </w:t>
      </w:r>
    </w:p>
    <w:p w14:paraId="3244E461" w14:textId="77777777" w:rsidR="008F3C9E" w:rsidRPr="008F3C9E" w:rsidRDefault="008F3C9E" w:rsidP="008F3C9E">
      <w:pPr>
        <w:autoSpaceDE w:val="0"/>
        <w:autoSpaceDN w:val="0"/>
        <w:adjustRightInd w:val="0"/>
        <w:spacing w:after="0" w:line="240" w:lineRule="auto"/>
        <w:jc w:val="both"/>
        <w:rPr>
          <w:rFonts w:ascii="Arial" w:eastAsia="Calibri" w:hAnsi="Arial" w:cs="Arial"/>
          <w:b/>
          <w:color w:val="1F497D"/>
          <w:sz w:val="20"/>
          <w:szCs w:val="20"/>
          <w:u w:val="single"/>
          <w:lang w:val="en-GB"/>
        </w:rPr>
      </w:pPr>
    </w:p>
    <w:p w14:paraId="17FA2E77" w14:textId="77777777" w:rsidR="008F3C9E" w:rsidRPr="008F3C9E" w:rsidRDefault="008F3C9E" w:rsidP="008F3C9E">
      <w:pPr>
        <w:numPr>
          <w:ilvl w:val="1"/>
          <w:numId w:val="1"/>
        </w:numPr>
        <w:spacing w:after="120" w:line="240" w:lineRule="auto"/>
        <w:ind w:left="275"/>
        <w:jc w:val="both"/>
        <w:rPr>
          <w:rFonts w:ascii="Arial" w:eastAsia="Calibri" w:hAnsi="Arial" w:cs="Arial"/>
          <w:b/>
          <w:sz w:val="20"/>
          <w:szCs w:val="20"/>
          <w:lang w:val="en-GB"/>
        </w:rPr>
      </w:pPr>
      <w:r w:rsidRPr="008F3C9E">
        <w:rPr>
          <w:rFonts w:ascii="Arial" w:eastAsia="Calibri" w:hAnsi="Arial" w:cs="Arial"/>
          <w:b/>
          <w:sz w:val="20"/>
          <w:szCs w:val="20"/>
          <w:lang w:val="en-GB"/>
        </w:rPr>
        <w:t>Key ratios and highlights of the latest available financial results, including:</w:t>
      </w:r>
    </w:p>
    <w:p w14:paraId="73D53ACF" w14:textId="77777777" w:rsidR="008F3C9E" w:rsidRPr="008F3C9E" w:rsidRDefault="008F3C9E" w:rsidP="008F3C9E">
      <w:pPr>
        <w:autoSpaceDE w:val="0"/>
        <w:autoSpaceDN w:val="0"/>
        <w:adjustRightInd w:val="0"/>
        <w:spacing w:after="0" w:line="240" w:lineRule="auto"/>
        <w:jc w:val="both"/>
        <w:rPr>
          <w:rFonts w:ascii="Arial" w:eastAsia="Calibri" w:hAnsi="Arial" w:cs="Arial"/>
          <w:b/>
          <w:color w:val="1F497D"/>
          <w:sz w:val="20"/>
          <w:szCs w:val="20"/>
          <w:u w:val="single"/>
          <w:lang w:val="en-GB"/>
        </w:rPr>
      </w:pPr>
    </w:p>
    <w:p w14:paraId="563DFE26" w14:textId="77777777" w:rsidR="008F3C9E" w:rsidRPr="008F3C9E" w:rsidRDefault="008F3C9E" w:rsidP="008F3C9E">
      <w:pPr>
        <w:numPr>
          <w:ilvl w:val="0"/>
          <w:numId w:val="1"/>
        </w:numPr>
        <w:spacing w:after="120" w:line="240" w:lineRule="auto"/>
        <w:jc w:val="both"/>
        <w:rPr>
          <w:rFonts w:ascii="Arial" w:eastAsia="Calibri" w:hAnsi="Arial" w:cs="Arial"/>
          <w:sz w:val="20"/>
          <w:szCs w:val="20"/>
          <w:lang w:val="en-GB"/>
        </w:rPr>
      </w:pPr>
      <w:r w:rsidRPr="008F3C9E">
        <w:rPr>
          <w:rFonts w:ascii="Arial" w:eastAsia="Calibri" w:hAnsi="Arial" w:cs="Arial"/>
          <w:bCs/>
          <w:sz w:val="20"/>
          <w:szCs w:val="20"/>
          <w:u w:val="single"/>
          <w:lang w:val="en-GB"/>
        </w:rPr>
        <w:t>Profitability</w:t>
      </w:r>
      <w:r w:rsidRPr="008F3C9E">
        <w:rPr>
          <w:rFonts w:ascii="Arial" w:eastAsia="Calibri" w:hAnsi="Arial" w:cs="Arial"/>
          <w:bCs/>
          <w:sz w:val="20"/>
          <w:szCs w:val="20"/>
          <w:lang w:val="en-GB"/>
        </w:rPr>
        <w:t>:</w:t>
      </w:r>
      <w:r w:rsidRPr="008F3C9E">
        <w:rPr>
          <w:rFonts w:ascii="Arial" w:eastAsia="Calibri" w:hAnsi="Arial" w:cs="Arial"/>
          <w:sz w:val="20"/>
          <w:szCs w:val="20"/>
          <w:lang w:val="en-GB"/>
        </w:rPr>
        <w:t xml:space="preserve"> Evolution of profitability (ROAA, ROAE), earnings outlook (</w:t>
      </w:r>
      <w:proofErr w:type="gramStart"/>
      <w:r w:rsidRPr="008F3C9E">
        <w:rPr>
          <w:rFonts w:ascii="Arial" w:eastAsia="Calibri" w:hAnsi="Arial" w:cs="Arial"/>
          <w:sz w:val="20"/>
          <w:szCs w:val="20"/>
          <w:lang w:val="en-GB"/>
        </w:rPr>
        <w:t>taking into account</w:t>
      </w:r>
      <w:proofErr w:type="gramEnd"/>
      <w:r w:rsidRPr="008F3C9E">
        <w:rPr>
          <w:rFonts w:ascii="Arial" w:eastAsia="Calibri" w:hAnsi="Arial" w:cs="Arial"/>
          <w:sz w:val="20"/>
          <w:szCs w:val="20"/>
          <w:lang w:val="en-GB"/>
        </w:rPr>
        <w:t xml:space="preserve"> COVID-19 impact)</w:t>
      </w:r>
    </w:p>
    <w:p w14:paraId="234BE7D3" w14:textId="77777777" w:rsidR="008F3C9E" w:rsidRPr="008F3C9E" w:rsidRDefault="008F3C9E" w:rsidP="008F3C9E">
      <w:pPr>
        <w:numPr>
          <w:ilvl w:val="0"/>
          <w:numId w:val="1"/>
        </w:numPr>
        <w:spacing w:after="120" w:line="240" w:lineRule="auto"/>
        <w:jc w:val="both"/>
        <w:rPr>
          <w:rFonts w:ascii="Arial" w:eastAsia="Calibri" w:hAnsi="Arial" w:cs="Arial"/>
          <w:sz w:val="20"/>
          <w:szCs w:val="20"/>
          <w:lang w:val="en-GB"/>
        </w:rPr>
      </w:pPr>
      <w:r w:rsidRPr="008F3C9E">
        <w:rPr>
          <w:rFonts w:ascii="Arial" w:eastAsia="Calibri" w:hAnsi="Arial" w:cs="Arial"/>
          <w:sz w:val="20"/>
          <w:szCs w:val="20"/>
          <w:u w:val="single"/>
          <w:lang w:val="en-GB"/>
        </w:rPr>
        <w:t>Credit Risk</w:t>
      </w:r>
      <w:r w:rsidRPr="008F3C9E">
        <w:rPr>
          <w:rFonts w:ascii="Arial" w:eastAsia="Calibri" w:hAnsi="Arial" w:cs="Arial"/>
          <w:sz w:val="20"/>
          <w:szCs w:val="20"/>
          <w:lang w:val="en-GB"/>
        </w:rPr>
        <w:t>: information on the FI’s portfolio – highlight large concentrations, if any against country average / peers</w:t>
      </w:r>
    </w:p>
    <w:p w14:paraId="32095255" w14:textId="77777777" w:rsidR="008F3C9E" w:rsidRPr="008F3C9E" w:rsidRDefault="008F3C9E" w:rsidP="008F3C9E">
      <w:pPr>
        <w:numPr>
          <w:ilvl w:val="0"/>
          <w:numId w:val="1"/>
        </w:numPr>
        <w:spacing w:after="120" w:line="240" w:lineRule="auto"/>
        <w:jc w:val="both"/>
        <w:rPr>
          <w:rFonts w:ascii="Arial" w:eastAsia="Calibri" w:hAnsi="Arial" w:cs="Arial"/>
          <w:sz w:val="20"/>
          <w:szCs w:val="20"/>
          <w:lang w:val="en-GB"/>
        </w:rPr>
      </w:pPr>
      <w:r w:rsidRPr="008F3C9E">
        <w:rPr>
          <w:rFonts w:ascii="Arial" w:eastAsia="Calibri" w:hAnsi="Arial" w:cs="Arial"/>
          <w:sz w:val="20"/>
          <w:szCs w:val="20"/>
          <w:u w:val="single"/>
          <w:lang w:val="en-GB"/>
        </w:rPr>
        <w:t>Asset quality</w:t>
      </w:r>
      <w:r w:rsidRPr="008F3C9E">
        <w:rPr>
          <w:rFonts w:ascii="Arial" w:eastAsia="Calibri" w:hAnsi="Arial" w:cs="Arial"/>
          <w:sz w:val="20"/>
          <w:szCs w:val="20"/>
          <w:lang w:val="en-GB"/>
        </w:rPr>
        <w:t>: Historical levels of Non-Performing Loans (NPLs) (stock and by vintage), outlook against country average / peers (</w:t>
      </w:r>
      <w:proofErr w:type="gramStart"/>
      <w:r w:rsidRPr="008F3C9E">
        <w:rPr>
          <w:rFonts w:ascii="Arial" w:eastAsia="Calibri" w:hAnsi="Arial" w:cs="Arial"/>
          <w:sz w:val="20"/>
          <w:szCs w:val="20"/>
          <w:lang w:val="en-GB"/>
        </w:rPr>
        <w:t>taking into account</w:t>
      </w:r>
      <w:proofErr w:type="gramEnd"/>
      <w:r w:rsidRPr="008F3C9E">
        <w:rPr>
          <w:rFonts w:ascii="Arial" w:eastAsia="Calibri" w:hAnsi="Arial" w:cs="Arial"/>
          <w:sz w:val="20"/>
          <w:szCs w:val="20"/>
          <w:lang w:val="en-GB"/>
        </w:rPr>
        <w:t xml:space="preserve"> COVID-19 impact)</w:t>
      </w:r>
    </w:p>
    <w:p w14:paraId="2AA86810" w14:textId="77777777" w:rsidR="008F3C9E" w:rsidRPr="008F3C9E" w:rsidRDefault="008F3C9E" w:rsidP="008F3C9E">
      <w:pPr>
        <w:numPr>
          <w:ilvl w:val="0"/>
          <w:numId w:val="1"/>
        </w:numPr>
        <w:spacing w:after="120" w:line="240" w:lineRule="auto"/>
        <w:jc w:val="both"/>
        <w:rPr>
          <w:rFonts w:ascii="Arial" w:eastAsia="Calibri" w:hAnsi="Arial" w:cs="Arial"/>
          <w:sz w:val="20"/>
          <w:szCs w:val="20"/>
          <w:lang w:val="en-GB"/>
        </w:rPr>
      </w:pPr>
      <w:r w:rsidRPr="008F3C9E">
        <w:rPr>
          <w:rFonts w:ascii="Arial" w:eastAsia="Calibri" w:hAnsi="Arial" w:cs="Arial"/>
          <w:sz w:val="20"/>
          <w:szCs w:val="20"/>
          <w:u w:val="single"/>
          <w:lang w:val="en-GB"/>
        </w:rPr>
        <w:t>Capitalisation</w:t>
      </w:r>
      <w:r w:rsidRPr="008F3C9E">
        <w:rPr>
          <w:rFonts w:ascii="Arial" w:eastAsia="Calibri" w:hAnsi="Arial" w:cs="Arial"/>
          <w:sz w:val="20"/>
          <w:szCs w:val="20"/>
          <w:lang w:val="en-GB"/>
        </w:rPr>
        <w:t>: Regulatory Capital Adequacy Ratio, risk-adjusted capital ratio against country average/ peers</w:t>
      </w:r>
    </w:p>
    <w:p w14:paraId="19ACF7D8" w14:textId="77777777" w:rsidR="008F3C9E" w:rsidRPr="008F3C9E" w:rsidRDefault="008F3C9E" w:rsidP="008F3C9E">
      <w:pPr>
        <w:numPr>
          <w:ilvl w:val="0"/>
          <w:numId w:val="1"/>
        </w:numPr>
        <w:spacing w:after="120" w:line="240" w:lineRule="auto"/>
        <w:jc w:val="both"/>
        <w:rPr>
          <w:rFonts w:ascii="Arial" w:eastAsia="Calibri" w:hAnsi="Arial" w:cs="Arial"/>
          <w:sz w:val="20"/>
          <w:szCs w:val="20"/>
          <w:lang w:val="en-GB"/>
        </w:rPr>
      </w:pPr>
      <w:r w:rsidRPr="008F3C9E">
        <w:rPr>
          <w:rFonts w:ascii="Arial" w:eastAsia="Calibri" w:hAnsi="Arial" w:cs="Arial"/>
          <w:sz w:val="20"/>
          <w:szCs w:val="20"/>
          <w:u w:val="single"/>
          <w:lang w:val="en-GB"/>
        </w:rPr>
        <w:t>Funding and liquidity</w:t>
      </w:r>
      <w:r w:rsidRPr="008F3C9E">
        <w:rPr>
          <w:rFonts w:ascii="Arial" w:eastAsia="Calibri" w:hAnsi="Arial" w:cs="Arial"/>
          <w:sz w:val="20"/>
          <w:szCs w:val="20"/>
          <w:lang w:val="en-GB"/>
        </w:rPr>
        <w:t>: main funding sources, liquidity ratios</w:t>
      </w:r>
    </w:p>
    <w:p w14:paraId="1BACDEA1" w14:textId="77777777" w:rsidR="008F3C9E" w:rsidRPr="008F3C9E" w:rsidRDefault="008F3C9E" w:rsidP="008F3C9E">
      <w:pPr>
        <w:numPr>
          <w:ilvl w:val="0"/>
          <w:numId w:val="1"/>
        </w:numPr>
        <w:spacing w:after="120" w:line="240" w:lineRule="auto"/>
        <w:jc w:val="both"/>
        <w:rPr>
          <w:rFonts w:ascii="Arial" w:eastAsia="Calibri" w:hAnsi="Arial" w:cs="Arial"/>
          <w:b/>
          <w:color w:val="1F497D"/>
          <w:sz w:val="20"/>
          <w:szCs w:val="20"/>
          <w:u w:val="single"/>
          <w:lang w:val="en-GB"/>
        </w:rPr>
      </w:pPr>
      <w:r w:rsidRPr="008F3C9E">
        <w:rPr>
          <w:rFonts w:ascii="Arial" w:eastAsia="Calibri" w:hAnsi="Arial" w:cs="Arial"/>
          <w:sz w:val="20"/>
          <w:szCs w:val="20"/>
          <w:u w:val="single"/>
          <w:lang w:val="en-GB"/>
        </w:rPr>
        <w:t>Off-Balance Sheet Items and contingent risks</w:t>
      </w:r>
    </w:p>
    <w:p w14:paraId="51E59310" w14:textId="77777777" w:rsidR="008F3C9E" w:rsidRPr="008F3C9E" w:rsidRDefault="008F3C9E" w:rsidP="008F3C9E">
      <w:pPr>
        <w:autoSpaceDE w:val="0"/>
        <w:autoSpaceDN w:val="0"/>
        <w:adjustRightInd w:val="0"/>
        <w:spacing w:after="0" w:line="240" w:lineRule="auto"/>
        <w:jc w:val="both"/>
        <w:rPr>
          <w:rFonts w:ascii="Arial" w:eastAsia="Calibri" w:hAnsi="Arial" w:cs="Arial"/>
          <w:b/>
          <w:color w:val="1F497D"/>
          <w:sz w:val="20"/>
          <w:szCs w:val="20"/>
          <w:u w:val="single"/>
          <w:lang w:val="en-GB"/>
        </w:rPr>
      </w:pPr>
    </w:p>
    <w:p w14:paraId="6F47BF13" w14:textId="77777777" w:rsidR="008F3C9E" w:rsidRPr="008F3C9E" w:rsidRDefault="008F3C9E" w:rsidP="008F3C9E">
      <w:pPr>
        <w:autoSpaceDE w:val="0"/>
        <w:autoSpaceDN w:val="0"/>
        <w:adjustRightInd w:val="0"/>
        <w:spacing w:after="0" w:line="240" w:lineRule="auto"/>
        <w:jc w:val="both"/>
        <w:rPr>
          <w:rFonts w:ascii="Arial" w:eastAsia="Calibri" w:hAnsi="Arial" w:cs="Arial"/>
          <w:b/>
          <w:color w:val="1F497D"/>
          <w:sz w:val="20"/>
          <w:szCs w:val="20"/>
          <w:u w:val="single"/>
          <w:lang w:val="en-GB"/>
        </w:rPr>
      </w:pPr>
      <w:r w:rsidRPr="008F3C9E">
        <w:rPr>
          <w:rFonts w:ascii="Arial" w:eastAsia="Calibri" w:hAnsi="Arial" w:cs="Arial"/>
          <w:b/>
          <w:color w:val="1F497D"/>
          <w:sz w:val="20"/>
          <w:szCs w:val="20"/>
          <w:u w:val="single"/>
          <w:lang w:val="en-GB"/>
        </w:rPr>
        <w:t>Part 3 - Operating policies, procedures and models</w:t>
      </w:r>
    </w:p>
    <w:p w14:paraId="2E7A3C2E" w14:textId="77777777" w:rsidR="008F3C9E" w:rsidRPr="008F3C9E" w:rsidRDefault="008F3C9E" w:rsidP="008F3C9E">
      <w:pPr>
        <w:autoSpaceDE w:val="0"/>
        <w:autoSpaceDN w:val="0"/>
        <w:adjustRightInd w:val="0"/>
        <w:spacing w:after="0" w:line="240" w:lineRule="auto"/>
        <w:jc w:val="both"/>
        <w:rPr>
          <w:rFonts w:ascii="Arial" w:eastAsia="Calibri" w:hAnsi="Arial" w:cs="Arial"/>
          <w:b/>
          <w:color w:val="000000"/>
          <w:sz w:val="20"/>
          <w:szCs w:val="20"/>
          <w:lang w:val="en-GB"/>
        </w:rPr>
      </w:pPr>
    </w:p>
    <w:p w14:paraId="2263895A" w14:textId="77777777" w:rsidR="008F3C9E" w:rsidRPr="008F3C9E" w:rsidRDefault="008F3C9E" w:rsidP="008F3C9E">
      <w:pPr>
        <w:numPr>
          <w:ilvl w:val="0"/>
          <w:numId w:val="2"/>
        </w:numPr>
        <w:spacing w:after="120" w:line="240" w:lineRule="auto"/>
        <w:jc w:val="both"/>
        <w:rPr>
          <w:rFonts w:ascii="Arial" w:eastAsia="Calibri" w:hAnsi="Arial" w:cs="Arial"/>
          <w:sz w:val="20"/>
          <w:szCs w:val="20"/>
          <w:lang w:val="en-GB"/>
        </w:rPr>
      </w:pPr>
      <w:r w:rsidRPr="008F3C9E">
        <w:rPr>
          <w:rFonts w:ascii="Arial" w:eastAsia="Calibri" w:hAnsi="Arial" w:cs="Arial"/>
          <w:b/>
          <w:sz w:val="20"/>
          <w:szCs w:val="20"/>
          <w:u w:val="single"/>
          <w:lang w:val="en-GB"/>
        </w:rPr>
        <w:t>Regulatory Assessment</w:t>
      </w:r>
      <w:r w:rsidRPr="008F3C9E">
        <w:rPr>
          <w:rFonts w:ascii="Arial" w:eastAsia="Calibri" w:hAnsi="Arial" w:cs="Arial"/>
          <w:sz w:val="20"/>
          <w:szCs w:val="20"/>
          <w:lang w:val="en-GB"/>
        </w:rPr>
        <w:t>: Brief description of the relevant regulatory regime and supervisory bodies (national/supranational); outline which Basel approach (standard, IRB, Advanced IRB) is applied by the FI; regulated vs. non-regulated FIs. G-SIIs, O-SIIs, etc.</w:t>
      </w:r>
    </w:p>
    <w:p w14:paraId="5F9916F6" w14:textId="77777777" w:rsidR="008F3C9E" w:rsidRPr="008F3C9E" w:rsidRDefault="008F3C9E" w:rsidP="008F3C9E">
      <w:pPr>
        <w:numPr>
          <w:ilvl w:val="0"/>
          <w:numId w:val="2"/>
        </w:numPr>
        <w:spacing w:after="120" w:line="240" w:lineRule="auto"/>
        <w:jc w:val="both"/>
        <w:rPr>
          <w:rFonts w:ascii="Arial" w:eastAsia="Calibri" w:hAnsi="Arial" w:cs="Arial"/>
          <w:sz w:val="20"/>
          <w:szCs w:val="20"/>
          <w:lang w:val="en-GB"/>
        </w:rPr>
      </w:pPr>
      <w:r w:rsidRPr="008F3C9E">
        <w:rPr>
          <w:rFonts w:ascii="Arial" w:eastAsia="Calibri" w:hAnsi="Arial" w:cs="Arial"/>
          <w:b/>
          <w:sz w:val="20"/>
          <w:szCs w:val="20"/>
          <w:u w:val="single"/>
          <w:lang w:val="en-GB"/>
        </w:rPr>
        <w:t>Operating policies</w:t>
      </w:r>
      <w:r w:rsidRPr="008F3C9E">
        <w:rPr>
          <w:rFonts w:ascii="Arial" w:eastAsia="Calibri" w:hAnsi="Arial" w:cs="Arial"/>
          <w:sz w:val="20"/>
          <w:szCs w:val="20"/>
          <w:lang w:val="en-GB"/>
        </w:rPr>
        <w:t xml:space="preserve">: Executive summary of the FI’s principal operating policies and procedures, particularly: </w:t>
      </w:r>
    </w:p>
    <w:p w14:paraId="0F12D055" w14:textId="77777777" w:rsidR="008F3C9E" w:rsidRPr="008F3C9E" w:rsidRDefault="008F3C9E" w:rsidP="008F3C9E">
      <w:pPr>
        <w:numPr>
          <w:ilvl w:val="0"/>
          <w:numId w:val="5"/>
        </w:numPr>
        <w:spacing w:after="120" w:line="240" w:lineRule="auto"/>
        <w:contextualSpacing/>
        <w:jc w:val="both"/>
        <w:rPr>
          <w:rFonts w:ascii="Arial" w:eastAsia="Times New Roman" w:hAnsi="Arial" w:cs="Arial"/>
          <w:sz w:val="20"/>
          <w:szCs w:val="20"/>
          <w:lang w:val="en-GB"/>
        </w:rPr>
      </w:pPr>
      <w:r w:rsidRPr="008F3C9E">
        <w:rPr>
          <w:rFonts w:ascii="Arial" w:eastAsia="Times New Roman" w:hAnsi="Arial" w:cs="Arial"/>
          <w:b/>
          <w:sz w:val="20"/>
          <w:szCs w:val="20"/>
          <w:lang w:val="en-GB"/>
        </w:rPr>
        <w:t xml:space="preserve">Appraisal </w:t>
      </w:r>
      <w:r w:rsidRPr="008F3C9E">
        <w:rPr>
          <w:rFonts w:ascii="Arial" w:eastAsia="Times New Roman" w:hAnsi="Arial" w:cs="Arial"/>
          <w:sz w:val="20"/>
          <w:szCs w:val="20"/>
          <w:lang w:val="en-GB"/>
        </w:rPr>
        <w:t>process, including:</w:t>
      </w:r>
    </w:p>
    <w:p w14:paraId="5FCF151C" w14:textId="77777777" w:rsidR="008F3C9E" w:rsidRPr="008F3C9E" w:rsidRDefault="008F3C9E" w:rsidP="008F3C9E">
      <w:pPr>
        <w:numPr>
          <w:ilvl w:val="0"/>
          <w:numId w:val="6"/>
        </w:numPr>
        <w:spacing w:after="120" w:line="240" w:lineRule="auto"/>
        <w:ind w:left="1126"/>
        <w:jc w:val="both"/>
        <w:rPr>
          <w:rFonts w:ascii="Arial" w:eastAsia="Calibri" w:hAnsi="Arial" w:cs="Arial"/>
          <w:sz w:val="20"/>
          <w:szCs w:val="20"/>
          <w:lang w:val="en-GB"/>
        </w:rPr>
      </w:pPr>
      <w:r w:rsidRPr="008F3C9E">
        <w:rPr>
          <w:rFonts w:ascii="Arial" w:eastAsia="Calibri" w:hAnsi="Arial" w:cs="Arial"/>
          <w:sz w:val="20"/>
          <w:szCs w:val="20"/>
          <w:lang w:val="en-GB"/>
        </w:rPr>
        <w:t>Origination (incl. segmentation per type of RFB, if any)</w:t>
      </w:r>
    </w:p>
    <w:p w14:paraId="2669B0E9" w14:textId="77777777" w:rsidR="008F3C9E" w:rsidRPr="008F3C9E" w:rsidRDefault="008F3C9E" w:rsidP="008F3C9E">
      <w:pPr>
        <w:numPr>
          <w:ilvl w:val="0"/>
          <w:numId w:val="6"/>
        </w:numPr>
        <w:spacing w:after="120" w:line="240" w:lineRule="auto"/>
        <w:ind w:left="1126"/>
        <w:jc w:val="both"/>
        <w:rPr>
          <w:rFonts w:ascii="Arial" w:eastAsia="Calibri" w:hAnsi="Arial" w:cs="Arial"/>
          <w:sz w:val="20"/>
          <w:szCs w:val="20"/>
          <w:lang w:val="en-GB"/>
        </w:rPr>
      </w:pPr>
      <w:r w:rsidRPr="008F3C9E">
        <w:rPr>
          <w:rFonts w:ascii="Arial" w:eastAsia="Calibri" w:hAnsi="Arial" w:cs="Arial"/>
          <w:sz w:val="20"/>
          <w:szCs w:val="20"/>
          <w:lang w:val="en-GB"/>
        </w:rPr>
        <w:t xml:space="preserve">Risk management function </w:t>
      </w:r>
    </w:p>
    <w:p w14:paraId="3FB49709" w14:textId="77777777" w:rsidR="008F3C9E" w:rsidRPr="008F3C9E" w:rsidRDefault="008F3C9E" w:rsidP="008F3C9E">
      <w:pPr>
        <w:numPr>
          <w:ilvl w:val="0"/>
          <w:numId w:val="6"/>
        </w:numPr>
        <w:spacing w:after="120" w:line="240" w:lineRule="auto"/>
        <w:ind w:left="1126"/>
        <w:jc w:val="both"/>
        <w:rPr>
          <w:rFonts w:ascii="Arial" w:eastAsia="Calibri" w:hAnsi="Arial" w:cs="Arial"/>
          <w:sz w:val="20"/>
          <w:szCs w:val="20"/>
          <w:lang w:val="en-GB"/>
        </w:rPr>
      </w:pPr>
      <w:r w:rsidRPr="008F3C9E">
        <w:rPr>
          <w:rFonts w:ascii="Arial" w:eastAsia="Calibri" w:hAnsi="Arial" w:cs="Arial"/>
          <w:sz w:val="20"/>
          <w:szCs w:val="20"/>
          <w:lang w:val="en-GB"/>
        </w:rPr>
        <w:t>Approval procedures and delegation system (incl. segregation of duties, first and second line of defence, authorisation procedures and powers, limits, etc.)</w:t>
      </w:r>
    </w:p>
    <w:p w14:paraId="0E131D8C" w14:textId="77777777" w:rsidR="008F3C9E" w:rsidRPr="008F3C9E" w:rsidRDefault="008F3C9E" w:rsidP="008F3C9E">
      <w:pPr>
        <w:numPr>
          <w:ilvl w:val="0"/>
          <w:numId w:val="6"/>
        </w:numPr>
        <w:spacing w:after="120" w:line="240" w:lineRule="auto"/>
        <w:ind w:left="1126"/>
        <w:jc w:val="both"/>
        <w:rPr>
          <w:rFonts w:ascii="Arial" w:eastAsia="Calibri" w:hAnsi="Arial" w:cs="Arial"/>
          <w:sz w:val="20"/>
          <w:szCs w:val="20"/>
          <w:lang w:val="en-GB"/>
        </w:rPr>
      </w:pPr>
      <w:r w:rsidRPr="008F3C9E">
        <w:rPr>
          <w:rFonts w:ascii="Arial" w:eastAsia="Calibri" w:hAnsi="Arial" w:cs="Arial"/>
          <w:sz w:val="20"/>
          <w:szCs w:val="20"/>
          <w:lang w:val="en-GB"/>
        </w:rPr>
        <w:lastRenderedPageBreak/>
        <w:t xml:space="preserve">Minimum risk requirement by different products and no goes for targeted lending products/sectors. </w:t>
      </w:r>
    </w:p>
    <w:p w14:paraId="0E613F35" w14:textId="77777777" w:rsidR="008F3C9E" w:rsidRPr="008F3C9E" w:rsidRDefault="008F3C9E" w:rsidP="008F3C9E">
      <w:pPr>
        <w:numPr>
          <w:ilvl w:val="0"/>
          <w:numId w:val="6"/>
        </w:numPr>
        <w:spacing w:after="120" w:line="240" w:lineRule="auto"/>
        <w:ind w:left="1126"/>
        <w:jc w:val="both"/>
        <w:rPr>
          <w:rFonts w:ascii="Arial" w:eastAsia="Calibri" w:hAnsi="Arial" w:cs="Arial"/>
          <w:sz w:val="20"/>
          <w:szCs w:val="20"/>
          <w:lang w:val="en-GB"/>
        </w:rPr>
      </w:pPr>
      <w:r w:rsidRPr="008F3C9E">
        <w:rPr>
          <w:rFonts w:ascii="Arial" w:eastAsia="Calibri" w:hAnsi="Arial" w:cs="Arial"/>
          <w:sz w:val="20"/>
          <w:szCs w:val="20"/>
          <w:lang w:val="en-GB"/>
        </w:rPr>
        <w:t xml:space="preserve">Key contractual clauses and collateral requirements </w:t>
      </w:r>
    </w:p>
    <w:p w14:paraId="43C28256" w14:textId="77777777" w:rsidR="008F3C9E" w:rsidRPr="008F3C9E" w:rsidRDefault="008F3C9E" w:rsidP="008F3C9E">
      <w:pPr>
        <w:spacing w:after="120" w:line="240" w:lineRule="auto"/>
        <w:ind w:left="521"/>
        <w:contextualSpacing/>
        <w:jc w:val="both"/>
        <w:rPr>
          <w:rFonts w:ascii="Arial" w:eastAsia="Times New Roman" w:hAnsi="Arial" w:cs="Arial"/>
          <w:sz w:val="20"/>
          <w:szCs w:val="20"/>
          <w:lang w:val="en-GB"/>
        </w:rPr>
      </w:pPr>
    </w:p>
    <w:p w14:paraId="180EEBEB" w14:textId="77777777" w:rsidR="008F3C9E" w:rsidRPr="008F3C9E" w:rsidRDefault="008F3C9E" w:rsidP="008F3C9E">
      <w:pPr>
        <w:spacing w:after="120" w:line="240" w:lineRule="auto"/>
        <w:ind w:left="521"/>
        <w:contextualSpacing/>
        <w:jc w:val="both"/>
        <w:rPr>
          <w:rFonts w:ascii="Arial" w:eastAsia="Times New Roman" w:hAnsi="Arial" w:cs="Arial"/>
          <w:sz w:val="20"/>
          <w:szCs w:val="20"/>
          <w:lang w:val="en-GB"/>
        </w:rPr>
      </w:pPr>
    </w:p>
    <w:p w14:paraId="0F7D6593" w14:textId="77777777" w:rsidR="008F3C9E" w:rsidRPr="008F3C9E" w:rsidRDefault="008F3C9E" w:rsidP="008F3C9E">
      <w:pPr>
        <w:spacing w:after="120" w:line="240" w:lineRule="auto"/>
        <w:ind w:left="521"/>
        <w:contextualSpacing/>
        <w:jc w:val="both"/>
        <w:rPr>
          <w:rFonts w:ascii="Arial" w:eastAsia="Times New Roman" w:hAnsi="Arial" w:cs="Arial"/>
          <w:sz w:val="20"/>
          <w:szCs w:val="20"/>
          <w:lang w:val="en-GB"/>
        </w:rPr>
      </w:pPr>
    </w:p>
    <w:p w14:paraId="58AE6BA7" w14:textId="77777777" w:rsidR="008F3C9E" w:rsidRPr="008F3C9E" w:rsidRDefault="008F3C9E" w:rsidP="008F3C9E">
      <w:pPr>
        <w:numPr>
          <w:ilvl w:val="0"/>
          <w:numId w:val="5"/>
        </w:numPr>
        <w:spacing w:after="120" w:line="240" w:lineRule="auto"/>
        <w:contextualSpacing/>
        <w:jc w:val="both"/>
        <w:rPr>
          <w:rFonts w:ascii="Arial" w:eastAsia="Times New Roman" w:hAnsi="Arial" w:cs="Arial"/>
          <w:sz w:val="20"/>
          <w:szCs w:val="20"/>
          <w:lang w:val="en-GB"/>
        </w:rPr>
      </w:pPr>
      <w:r w:rsidRPr="008F3C9E">
        <w:rPr>
          <w:rFonts w:ascii="Arial" w:eastAsia="Times New Roman" w:hAnsi="Arial" w:cs="Arial"/>
          <w:b/>
          <w:sz w:val="20"/>
          <w:szCs w:val="20"/>
          <w:lang w:val="en-GB"/>
        </w:rPr>
        <w:t>Compliance function</w:t>
      </w:r>
    </w:p>
    <w:p w14:paraId="3664C8CD" w14:textId="77777777" w:rsidR="008F3C9E" w:rsidRPr="008F3C9E" w:rsidRDefault="008F3C9E" w:rsidP="008F3C9E">
      <w:pPr>
        <w:spacing w:after="0" w:line="240" w:lineRule="auto"/>
        <w:ind w:left="521"/>
        <w:jc w:val="both"/>
        <w:rPr>
          <w:rFonts w:ascii="Arial" w:eastAsia="Times New Roman" w:hAnsi="Arial" w:cs="Times New Roman"/>
          <w:sz w:val="20"/>
          <w:szCs w:val="20"/>
          <w:lang w:val="en-GB"/>
        </w:rPr>
      </w:pPr>
      <w:r w:rsidRPr="008F3C9E">
        <w:rPr>
          <w:rFonts w:ascii="Arial" w:eastAsia="Times New Roman" w:hAnsi="Arial" w:cs="Times New Roman"/>
          <w:sz w:val="20"/>
          <w:szCs w:val="20"/>
          <w:lang w:val="en-GB"/>
        </w:rPr>
        <w:t xml:space="preserve">Please provide the duly completed </w:t>
      </w:r>
      <w:hyperlink r:id="rId7" w:history="1">
        <w:r w:rsidRPr="008F3C9E">
          <w:rPr>
            <w:rFonts w:ascii="Arial" w:eastAsia="Times New Roman" w:hAnsi="Arial" w:cs="Times New Roman"/>
            <w:color w:val="0000FF"/>
            <w:sz w:val="20"/>
            <w:szCs w:val="20"/>
            <w:u w:val="single"/>
            <w:lang w:val="en-GB"/>
          </w:rPr>
          <w:t>Financial Crime Compliance Questionnaire (FCCQ)</w:t>
        </w:r>
      </w:hyperlink>
      <w:r w:rsidRPr="008F3C9E">
        <w:rPr>
          <w:rFonts w:ascii="Arial" w:eastAsia="Times New Roman" w:hAnsi="Arial" w:cs="Times New Roman"/>
          <w:sz w:val="20"/>
          <w:szCs w:val="20"/>
          <w:lang w:val="en-GB"/>
        </w:rPr>
        <w:t xml:space="preserve"> (</w:t>
      </w:r>
      <w:proofErr w:type="spellStart"/>
      <w:r w:rsidRPr="008F3C9E">
        <w:rPr>
          <w:rFonts w:ascii="Arial" w:eastAsia="Times New Roman" w:hAnsi="Arial" w:cs="Times New Roman"/>
          <w:sz w:val="20"/>
          <w:szCs w:val="20"/>
          <w:lang w:val="en-GB"/>
        </w:rPr>
        <w:t>Wolfsberg</w:t>
      </w:r>
      <w:proofErr w:type="spellEnd"/>
      <w:r w:rsidRPr="008F3C9E">
        <w:rPr>
          <w:rFonts w:ascii="Arial" w:eastAsia="Times New Roman" w:hAnsi="Arial" w:cs="Times New Roman"/>
          <w:sz w:val="20"/>
          <w:szCs w:val="20"/>
          <w:lang w:val="en-GB"/>
        </w:rPr>
        <w:t xml:space="preserve"> questionnaire). In case the FCCQ is not available, an existing Correspondent Banking Due Diligence Questionnaire (CBDDQ) is also considered acceptable. </w:t>
      </w:r>
    </w:p>
    <w:p w14:paraId="53781FDC" w14:textId="77777777" w:rsidR="008F3C9E" w:rsidRPr="008F3C9E" w:rsidRDefault="008F3C9E" w:rsidP="008F3C9E">
      <w:pPr>
        <w:spacing w:after="0" w:line="240" w:lineRule="auto"/>
        <w:ind w:left="521"/>
        <w:jc w:val="both"/>
        <w:rPr>
          <w:rFonts w:ascii="Arial" w:eastAsia="Times New Roman" w:hAnsi="Arial" w:cs="Times New Roman"/>
          <w:sz w:val="20"/>
          <w:szCs w:val="20"/>
          <w:lang w:val="en-GB"/>
        </w:rPr>
      </w:pPr>
    </w:p>
    <w:p w14:paraId="426B2E63" w14:textId="77777777" w:rsidR="008F3C9E" w:rsidRPr="008F3C9E" w:rsidRDefault="008F3C9E" w:rsidP="008F3C9E">
      <w:pPr>
        <w:numPr>
          <w:ilvl w:val="0"/>
          <w:numId w:val="5"/>
        </w:numPr>
        <w:spacing w:after="120" w:line="240" w:lineRule="auto"/>
        <w:contextualSpacing/>
        <w:jc w:val="both"/>
        <w:rPr>
          <w:rFonts w:ascii="Arial" w:eastAsia="Times New Roman" w:hAnsi="Arial" w:cs="Arial"/>
          <w:sz w:val="20"/>
          <w:szCs w:val="20"/>
          <w:lang w:val="en-GB"/>
        </w:rPr>
      </w:pPr>
      <w:r w:rsidRPr="008F3C9E">
        <w:rPr>
          <w:rFonts w:ascii="Arial" w:eastAsia="Times New Roman" w:hAnsi="Arial" w:cs="Arial"/>
          <w:b/>
          <w:sz w:val="20"/>
          <w:szCs w:val="20"/>
          <w:lang w:val="en-GB"/>
        </w:rPr>
        <w:t>Monitoring</w:t>
      </w:r>
      <w:r w:rsidRPr="008F3C9E">
        <w:rPr>
          <w:rFonts w:ascii="Arial" w:eastAsia="Times New Roman" w:hAnsi="Arial" w:cs="Arial"/>
          <w:sz w:val="20"/>
          <w:szCs w:val="20"/>
          <w:lang w:val="en-GB"/>
        </w:rPr>
        <w:t xml:space="preserve"> (what steps are taken and when; which departments are involved, key monitoring tools, Early Warning systems (pro-active monitoring), Watch Listings,)</w:t>
      </w:r>
      <w:r w:rsidR="00F80A5A">
        <w:rPr>
          <w:rFonts w:ascii="Arial" w:eastAsia="Times New Roman" w:hAnsi="Arial" w:cs="Arial"/>
          <w:sz w:val="20"/>
          <w:szCs w:val="20"/>
          <w:lang w:val="en-GB"/>
        </w:rPr>
        <w:t>. Emphasis on lending activities to RFBs.</w:t>
      </w:r>
    </w:p>
    <w:p w14:paraId="24DF6249" w14:textId="77777777" w:rsidR="008F3C9E" w:rsidRPr="008F3C9E" w:rsidRDefault="008F3C9E" w:rsidP="008F3C9E">
      <w:pPr>
        <w:spacing w:after="120" w:line="240" w:lineRule="auto"/>
        <w:ind w:left="521"/>
        <w:contextualSpacing/>
        <w:jc w:val="both"/>
        <w:rPr>
          <w:rFonts w:ascii="Arial" w:eastAsia="Times New Roman" w:hAnsi="Arial" w:cs="Arial"/>
          <w:sz w:val="20"/>
          <w:szCs w:val="20"/>
          <w:lang w:val="en-GB"/>
        </w:rPr>
      </w:pPr>
    </w:p>
    <w:p w14:paraId="28CA4796" w14:textId="77777777" w:rsidR="008F3C9E" w:rsidRPr="008F3C9E" w:rsidRDefault="008F3C9E" w:rsidP="008F3C9E">
      <w:pPr>
        <w:numPr>
          <w:ilvl w:val="0"/>
          <w:numId w:val="5"/>
        </w:numPr>
        <w:spacing w:after="120" w:line="240" w:lineRule="auto"/>
        <w:contextualSpacing/>
        <w:jc w:val="both"/>
        <w:rPr>
          <w:rFonts w:ascii="Arial" w:eastAsia="Times New Roman" w:hAnsi="Arial" w:cs="Arial"/>
          <w:sz w:val="20"/>
          <w:szCs w:val="20"/>
          <w:lang w:val="en-GB"/>
        </w:rPr>
      </w:pPr>
      <w:r w:rsidRPr="008F3C9E">
        <w:rPr>
          <w:rFonts w:ascii="Arial" w:eastAsia="Times New Roman" w:hAnsi="Arial" w:cs="Arial"/>
          <w:b/>
          <w:sz w:val="20"/>
          <w:szCs w:val="20"/>
          <w:lang w:val="en-GB"/>
        </w:rPr>
        <w:t>Restructuring, work-out and recovery</w:t>
      </w:r>
      <w:r w:rsidRPr="008F3C9E">
        <w:rPr>
          <w:rFonts w:ascii="Arial" w:eastAsia="Times New Roman" w:hAnsi="Arial" w:cs="Arial"/>
          <w:sz w:val="20"/>
          <w:szCs w:val="20"/>
          <w:lang w:val="en-GB"/>
        </w:rPr>
        <w:t xml:space="preserve"> </w:t>
      </w:r>
      <w:r w:rsidRPr="008F3C9E">
        <w:rPr>
          <w:rFonts w:ascii="Arial" w:eastAsia="Times New Roman" w:hAnsi="Arial" w:cs="Arial"/>
          <w:b/>
          <w:sz w:val="20"/>
          <w:szCs w:val="20"/>
          <w:lang w:val="en-GB"/>
        </w:rPr>
        <w:t>procedures</w:t>
      </w:r>
      <w:r w:rsidRPr="008F3C9E">
        <w:rPr>
          <w:rFonts w:ascii="Arial" w:eastAsia="Times New Roman" w:hAnsi="Arial" w:cs="Arial"/>
          <w:sz w:val="20"/>
          <w:szCs w:val="20"/>
          <w:lang w:val="en-GB"/>
        </w:rPr>
        <w:t>: loan classification, provisioning and management of problem loans / re-structuring (what steps are taken and when; which departments are involved, which tools are used, etc.).</w:t>
      </w:r>
      <w:r w:rsidR="00F80A5A">
        <w:rPr>
          <w:rFonts w:ascii="Arial" w:eastAsia="Times New Roman" w:hAnsi="Arial" w:cs="Arial"/>
          <w:sz w:val="20"/>
          <w:szCs w:val="20"/>
          <w:lang w:val="en-GB"/>
        </w:rPr>
        <w:t xml:space="preserve"> Emphasis on lending activities to RFBs.</w:t>
      </w:r>
    </w:p>
    <w:p w14:paraId="732920C1" w14:textId="77777777" w:rsidR="008F3C9E" w:rsidRPr="008F3C9E" w:rsidRDefault="008F3C9E" w:rsidP="008F3C9E">
      <w:pPr>
        <w:spacing w:after="120" w:line="240" w:lineRule="auto"/>
        <w:ind w:left="521"/>
        <w:contextualSpacing/>
        <w:jc w:val="both"/>
        <w:rPr>
          <w:rFonts w:ascii="Arial" w:eastAsia="Times New Roman" w:hAnsi="Arial" w:cs="Arial"/>
          <w:sz w:val="20"/>
          <w:szCs w:val="20"/>
          <w:lang w:val="en-GB"/>
        </w:rPr>
      </w:pPr>
    </w:p>
    <w:p w14:paraId="0BDA6F19" w14:textId="39051B98" w:rsidR="008F3C9E" w:rsidRPr="008F3C9E" w:rsidRDefault="008F3C9E" w:rsidP="008F3C9E">
      <w:pPr>
        <w:numPr>
          <w:ilvl w:val="0"/>
          <w:numId w:val="2"/>
        </w:numPr>
        <w:spacing w:after="120" w:line="240" w:lineRule="auto"/>
        <w:jc w:val="both"/>
        <w:rPr>
          <w:rFonts w:ascii="Arial" w:eastAsia="Calibri" w:hAnsi="Arial" w:cs="Arial"/>
          <w:b/>
          <w:sz w:val="20"/>
          <w:szCs w:val="20"/>
          <w:u w:val="single"/>
          <w:lang w:val="en-GB"/>
        </w:rPr>
      </w:pPr>
      <w:r w:rsidRPr="008F3C9E">
        <w:rPr>
          <w:rFonts w:ascii="Arial" w:eastAsia="Calibri" w:hAnsi="Arial" w:cs="Arial"/>
          <w:b/>
          <w:sz w:val="20"/>
          <w:szCs w:val="20"/>
          <w:u w:val="single"/>
          <w:lang w:val="en-GB"/>
        </w:rPr>
        <w:t>Risk models</w:t>
      </w:r>
      <w:r w:rsidRPr="008F3C9E">
        <w:rPr>
          <w:rFonts w:ascii="Arial" w:eastAsia="Calibri" w:hAnsi="Arial" w:cs="Arial"/>
          <w:sz w:val="20"/>
          <w:szCs w:val="20"/>
        </w:rPr>
        <w:t xml:space="preserve"> (associated to the RFB’s foreseen to generate exposures under </w:t>
      </w:r>
      <w:r w:rsidR="00DA156A">
        <w:rPr>
          <w:rFonts w:ascii="Arial" w:eastAsia="Calibri" w:hAnsi="Arial" w:cs="Arial"/>
          <w:sz w:val="20"/>
          <w:szCs w:val="20"/>
        </w:rPr>
        <w:t>the GSLS</w:t>
      </w:r>
      <w:r w:rsidRPr="008F3C9E">
        <w:rPr>
          <w:rFonts w:ascii="Arial" w:eastAsia="Calibri" w:hAnsi="Arial" w:cs="Arial"/>
          <w:sz w:val="20"/>
          <w:szCs w:val="20"/>
        </w:rPr>
        <w:t>)</w:t>
      </w:r>
      <w:r w:rsidRPr="008F3C9E">
        <w:rPr>
          <w:rFonts w:ascii="Arial" w:eastAsia="Calibri" w:hAnsi="Arial" w:cs="Arial"/>
          <w:sz w:val="20"/>
          <w:szCs w:val="20"/>
          <w:lang w:val="en-GB"/>
        </w:rPr>
        <w:t>:</w:t>
      </w:r>
      <w:r w:rsidRPr="008F3C9E">
        <w:rPr>
          <w:rFonts w:ascii="Arial" w:eastAsia="Calibri" w:hAnsi="Arial" w:cs="Arial"/>
          <w:b/>
          <w:sz w:val="20"/>
          <w:szCs w:val="20"/>
          <w:lang w:val="en-GB"/>
        </w:rPr>
        <w:t xml:space="preserve"> </w:t>
      </w:r>
    </w:p>
    <w:p w14:paraId="55E4C39C" w14:textId="77777777" w:rsidR="008F3C9E" w:rsidRPr="008F3C9E" w:rsidRDefault="008F3C9E" w:rsidP="008F3C9E">
      <w:pPr>
        <w:numPr>
          <w:ilvl w:val="0"/>
          <w:numId w:val="7"/>
        </w:numPr>
        <w:spacing w:after="120" w:line="240" w:lineRule="auto"/>
        <w:jc w:val="both"/>
        <w:rPr>
          <w:rFonts w:ascii="Arial" w:eastAsia="Calibri" w:hAnsi="Arial" w:cs="Arial"/>
          <w:sz w:val="20"/>
          <w:szCs w:val="20"/>
          <w:lang w:val="en-GB"/>
        </w:rPr>
      </w:pPr>
      <w:r w:rsidRPr="008F3C9E">
        <w:rPr>
          <w:rFonts w:ascii="Arial" w:eastAsia="Calibri" w:hAnsi="Arial" w:cs="Arial"/>
          <w:sz w:val="20"/>
          <w:szCs w:val="20"/>
          <w:lang w:val="en-GB"/>
        </w:rPr>
        <w:t xml:space="preserve">Summary of internal risk models, including data required (qualitative, financial, behavioural </w:t>
      </w:r>
      <w:r w:rsidR="001758E8">
        <w:rPr>
          <w:rFonts w:ascii="Arial" w:eastAsia="Calibri" w:hAnsi="Arial" w:cs="Arial"/>
          <w:sz w:val="20"/>
          <w:szCs w:val="20"/>
          <w:lang w:val="en-GB"/>
        </w:rPr>
        <w:t xml:space="preserve">rating factor </w:t>
      </w:r>
      <w:r w:rsidRPr="008F3C9E">
        <w:rPr>
          <w:rFonts w:ascii="Arial" w:eastAsia="Calibri" w:hAnsi="Arial" w:cs="Arial"/>
          <w:sz w:val="20"/>
          <w:szCs w:val="20"/>
          <w:lang w:val="en-GB"/>
        </w:rPr>
        <w:t>information) for the rating of the exposures and the LGD estimation;</w:t>
      </w:r>
    </w:p>
    <w:p w14:paraId="443113FC" w14:textId="14005742" w:rsidR="008F3C9E" w:rsidRPr="008F3C9E" w:rsidRDefault="008F3C9E" w:rsidP="008F3C9E">
      <w:pPr>
        <w:numPr>
          <w:ilvl w:val="0"/>
          <w:numId w:val="7"/>
        </w:numPr>
        <w:spacing w:after="120" w:line="240" w:lineRule="auto"/>
        <w:jc w:val="both"/>
        <w:rPr>
          <w:rFonts w:ascii="Arial" w:eastAsia="Calibri" w:hAnsi="Arial" w:cs="Arial"/>
          <w:sz w:val="20"/>
          <w:szCs w:val="20"/>
          <w:lang w:val="en-GB"/>
        </w:rPr>
      </w:pPr>
      <w:r w:rsidRPr="008F3C9E">
        <w:rPr>
          <w:rFonts w:ascii="Arial" w:eastAsia="Calibri" w:hAnsi="Arial" w:cs="Arial"/>
          <w:sz w:val="20"/>
          <w:szCs w:val="20"/>
          <w:lang w:val="en-GB"/>
        </w:rPr>
        <w:t>Information on the (Master) rating scales, the associated 1-year PDs</w:t>
      </w:r>
      <w:r w:rsidR="001758E8">
        <w:rPr>
          <w:rFonts w:ascii="Arial" w:eastAsia="Calibri" w:hAnsi="Arial" w:cs="Arial"/>
          <w:sz w:val="20"/>
          <w:szCs w:val="20"/>
          <w:lang w:val="en-GB"/>
        </w:rPr>
        <w:t xml:space="preserve"> </w:t>
      </w:r>
      <w:r w:rsidR="00BD6724">
        <w:rPr>
          <w:rFonts w:ascii="Arial" w:eastAsia="Calibri" w:hAnsi="Arial" w:cs="Arial"/>
          <w:sz w:val="20"/>
          <w:szCs w:val="20"/>
          <w:lang w:val="en-GB"/>
        </w:rPr>
        <w:t>through the cycle (</w:t>
      </w:r>
      <w:r w:rsidR="001758E8">
        <w:rPr>
          <w:rFonts w:ascii="Arial" w:eastAsia="Calibri" w:hAnsi="Arial" w:cs="Arial"/>
          <w:sz w:val="20"/>
          <w:szCs w:val="20"/>
          <w:lang w:val="en-GB"/>
        </w:rPr>
        <w:t>TTC</w:t>
      </w:r>
      <w:r w:rsidR="00BD6724">
        <w:rPr>
          <w:rFonts w:ascii="Arial" w:eastAsia="Calibri" w:hAnsi="Arial" w:cs="Arial"/>
          <w:sz w:val="20"/>
          <w:szCs w:val="20"/>
          <w:lang w:val="en-GB"/>
        </w:rPr>
        <w:t>)</w:t>
      </w:r>
      <w:r w:rsidR="001758E8">
        <w:rPr>
          <w:rFonts w:ascii="Arial" w:eastAsia="Calibri" w:hAnsi="Arial" w:cs="Arial"/>
          <w:sz w:val="20"/>
          <w:szCs w:val="20"/>
          <w:lang w:val="en-GB"/>
        </w:rPr>
        <w:t xml:space="preserve"> </w:t>
      </w:r>
      <w:r w:rsidR="00BD6724">
        <w:rPr>
          <w:rFonts w:ascii="Arial" w:eastAsia="Calibri" w:hAnsi="Arial" w:cs="Arial"/>
          <w:sz w:val="20"/>
          <w:szCs w:val="20"/>
          <w:lang w:val="en-GB"/>
        </w:rPr>
        <w:t>and point in time (</w:t>
      </w:r>
      <w:r w:rsidR="001758E8">
        <w:rPr>
          <w:rFonts w:ascii="Arial" w:eastAsia="Calibri" w:hAnsi="Arial" w:cs="Arial"/>
          <w:sz w:val="20"/>
          <w:szCs w:val="20"/>
          <w:lang w:val="en-GB"/>
        </w:rPr>
        <w:t>PIT</w:t>
      </w:r>
      <w:r w:rsidR="00BD6724">
        <w:rPr>
          <w:rFonts w:ascii="Arial" w:eastAsia="Calibri" w:hAnsi="Arial" w:cs="Arial"/>
          <w:sz w:val="20"/>
          <w:szCs w:val="20"/>
          <w:lang w:val="en-GB"/>
        </w:rPr>
        <w:t xml:space="preserve">) </w:t>
      </w:r>
      <w:r w:rsidRPr="008F3C9E">
        <w:rPr>
          <w:rFonts w:ascii="Arial" w:eastAsia="Calibri" w:hAnsi="Arial" w:cs="Arial"/>
          <w:sz w:val="20"/>
          <w:szCs w:val="20"/>
          <w:lang w:val="en-GB"/>
        </w:rPr>
        <w:t xml:space="preserve">(min-max, median by rating class, if applicable) </w:t>
      </w:r>
      <w:r w:rsidR="00A93A29">
        <w:rPr>
          <w:rFonts w:ascii="Arial" w:eastAsia="Calibri" w:hAnsi="Arial" w:cs="Arial"/>
          <w:sz w:val="20"/>
          <w:szCs w:val="20"/>
          <w:lang w:val="en-GB"/>
        </w:rPr>
        <w:t xml:space="preserve">and </w:t>
      </w:r>
      <w:r w:rsidRPr="008F3C9E">
        <w:rPr>
          <w:rFonts w:ascii="Arial" w:eastAsia="Calibri" w:hAnsi="Arial" w:cs="Arial"/>
          <w:sz w:val="20"/>
          <w:szCs w:val="20"/>
          <w:lang w:val="en-GB"/>
        </w:rPr>
        <w:t>equivalent; distinction between performing and non-performing rating classes;</w:t>
      </w:r>
    </w:p>
    <w:p w14:paraId="29D87BFF" w14:textId="65924F8E" w:rsidR="008F3C9E" w:rsidRDefault="008F3C9E" w:rsidP="008F3C9E">
      <w:pPr>
        <w:numPr>
          <w:ilvl w:val="0"/>
          <w:numId w:val="7"/>
        </w:numPr>
        <w:spacing w:after="120" w:line="240" w:lineRule="auto"/>
        <w:jc w:val="both"/>
        <w:rPr>
          <w:rFonts w:ascii="Arial" w:eastAsia="Calibri" w:hAnsi="Arial" w:cs="Arial"/>
          <w:sz w:val="20"/>
          <w:szCs w:val="20"/>
          <w:lang w:val="en-GB"/>
        </w:rPr>
      </w:pPr>
      <w:r w:rsidRPr="008F3C9E">
        <w:rPr>
          <w:rFonts w:ascii="Arial" w:eastAsia="Calibri" w:hAnsi="Arial" w:cs="Arial"/>
          <w:sz w:val="20"/>
          <w:szCs w:val="20"/>
          <w:lang w:val="en-GB"/>
        </w:rPr>
        <w:t xml:space="preserve">LGD data per asset types for unsecured </w:t>
      </w:r>
      <w:r w:rsidR="001F7EF7">
        <w:rPr>
          <w:rFonts w:ascii="Arial" w:eastAsia="Calibri" w:hAnsi="Arial" w:cs="Arial"/>
          <w:sz w:val="20"/>
          <w:szCs w:val="20"/>
          <w:lang w:val="en-GB"/>
        </w:rPr>
        <w:t xml:space="preserve">SME </w:t>
      </w:r>
      <w:r w:rsidRPr="008F3C9E">
        <w:rPr>
          <w:rFonts w:ascii="Arial" w:eastAsia="Calibri" w:hAnsi="Arial" w:cs="Arial"/>
          <w:sz w:val="20"/>
          <w:szCs w:val="20"/>
          <w:lang w:val="en-GB"/>
        </w:rPr>
        <w:t xml:space="preserve">exposures </w:t>
      </w:r>
      <w:r w:rsidR="00146673">
        <w:rPr>
          <w:rFonts w:ascii="Arial" w:eastAsia="Calibri" w:hAnsi="Arial" w:cs="Arial"/>
          <w:sz w:val="20"/>
          <w:szCs w:val="20"/>
          <w:lang w:val="en-GB"/>
        </w:rPr>
        <w:t>(</w:t>
      </w:r>
      <w:r w:rsidRPr="008F3C9E">
        <w:rPr>
          <w:rFonts w:ascii="Arial" w:eastAsia="Calibri" w:hAnsi="Arial" w:cs="Arial"/>
          <w:sz w:val="20"/>
          <w:szCs w:val="20"/>
          <w:lang w:val="en-GB"/>
        </w:rPr>
        <w:t>and for secured exposures</w:t>
      </w:r>
      <w:r w:rsidR="00146673">
        <w:rPr>
          <w:rFonts w:ascii="Arial" w:eastAsia="Calibri" w:hAnsi="Arial" w:cs="Arial"/>
          <w:sz w:val="20"/>
          <w:szCs w:val="20"/>
          <w:lang w:val="en-GB"/>
        </w:rPr>
        <w:t>, i.e. mortgaged loans</w:t>
      </w:r>
      <w:r w:rsidRPr="008F3C9E">
        <w:rPr>
          <w:rFonts w:ascii="Arial" w:eastAsia="Calibri" w:hAnsi="Arial" w:cs="Arial"/>
          <w:sz w:val="20"/>
          <w:szCs w:val="20"/>
          <w:lang w:val="en-GB"/>
        </w:rPr>
        <w:t>,  and coverage</w:t>
      </w:r>
      <w:r w:rsidR="00146673">
        <w:rPr>
          <w:rFonts w:ascii="Arial" w:eastAsia="Calibri" w:hAnsi="Arial" w:cs="Arial"/>
          <w:sz w:val="20"/>
          <w:szCs w:val="20"/>
          <w:lang w:val="en-GB"/>
        </w:rPr>
        <w:t xml:space="preserve"> percentages</w:t>
      </w:r>
      <w:r w:rsidRPr="008F3C9E">
        <w:rPr>
          <w:rFonts w:ascii="Arial" w:eastAsia="Calibri" w:hAnsi="Arial" w:cs="Arial"/>
          <w:sz w:val="20"/>
          <w:szCs w:val="20"/>
          <w:lang w:val="en-GB"/>
        </w:rPr>
        <w:t>;</w:t>
      </w:r>
    </w:p>
    <w:p w14:paraId="7119AA1E" w14:textId="77777777" w:rsidR="00235EA5" w:rsidRPr="008F3C9E" w:rsidRDefault="00235EA5" w:rsidP="008F3C9E">
      <w:pPr>
        <w:numPr>
          <w:ilvl w:val="0"/>
          <w:numId w:val="7"/>
        </w:numPr>
        <w:spacing w:after="120" w:line="240" w:lineRule="auto"/>
        <w:jc w:val="both"/>
        <w:rPr>
          <w:rFonts w:ascii="Arial" w:eastAsia="Calibri" w:hAnsi="Arial" w:cs="Arial"/>
          <w:sz w:val="20"/>
          <w:szCs w:val="20"/>
          <w:lang w:val="en-GB"/>
        </w:rPr>
      </w:pPr>
      <w:r>
        <w:rPr>
          <w:rFonts w:ascii="Arial" w:eastAsia="Calibri" w:hAnsi="Arial" w:cs="Arial"/>
          <w:sz w:val="20"/>
          <w:szCs w:val="20"/>
          <w:lang w:val="en-GB"/>
        </w:rPr>
        <w:t>Any prepayment rate estimates/models;</w:t>
      </w:r>
    </w:p>
    <w:p w14:paraId="00A041DB" w14:textId="77777777" w:rsidR="008F3C9E" w:rsidRPr="008F3C9E" w:rsidRDefault="008F3C9E" w:rsidP="008F3C9E">
      <w:pPr>
        <w:numPr>
          <w:ilvl w:val="0"/>
          <w:numId w:val="7"/>
        </w:numPr>
        <w:spacing w:after="120" w:line="240" w:lineRule="auto"/>
        <w:jc w:val="both"/>
        <w:rPr>
          <w:rFonts w:ascii="Arial" w:eastAsia="Calibri" w:hAnsi="Arial" w:cs="Arial"/>
          <w:sz w:val="20"/>
          <w:szCs w:val="20"/>
          <w:lang w:val="en-GB"/>
        </w:rPr>
      </w:pPr>
      <w:r w:rsidRPr="008F3C9E">
        <w:rPr>
          <w:rFonts w:ascii="Arial" w:eastAsia="Calibri" w:hAnsi="Arial" w:cs="Arial"/>
          <w:sz w:val="20"/>
          <w:szCs w:val="20"/>
          <w:lang w:val="en-GB"/>
        </w:rPr>
        <w:t xml:space="preserve">Information with respect to the strength and accuracy of the internal </w:t>
      </w:r>
      <w:r w:rsidR="00146673">
        <w:rPr>
          <w:rFonts w:ascii="Arial" w:eastAsia="Calibri" w:hAnsi="Arial" w:cs="Arial"/>
          <w:sz w:val="20"/>
          <w:szCs w:val="20"/>
          <w:lang w:val="en-GB"/>
        </w:rPr>
        <w:t xml:space="preserve">credit assessment/scoring </w:t>
      </w:r>
      <w:r w:rsidRPr="008F3C9E">
        <w:rPr>
          <w:rFonts w:ascii="Arial" w:eastAsia="Calibri" w:hAnsi="Arial" w:cs="Arial"/>
          <w:sz w:val="20"/>
          <w:szCs w:val="20"/>
          <w:lang w:val="en-GB"/>
        </w:rPr>
        <w:t xml:space="preserve">models, including data on back-testing, Gini-score (if available) and Validation/Calibration process - Expected vs. realised PD and LGD rates. Specify the frequency of model reviews and validations as well the date of the most recent review and validation undertaken </w:t>
      </w:r>
    </w:p>
    <w:p w14:paraId="1F0B12E7" w14:textId="77777777" w:rsidR="008F3C9E" w:rsidRPr="008F3C9E" w:rsidRDefault="008F3C9E" w:rsidP="008F3C9E">
      <w:pPr>
        <w:numPr>
          <w:ilvl w:val="0"/>
          <w:numId w:val="7"/>
        </w:numPr>
        <w:spacing w:after="120" w:line="240" w:lineRule="auto"/>
        <w:jc w:val="both"/>
        <w:rPr>
          <w:rFonts w:ascii="Arial" w:eastAsia="Calibri" w:hAnsi="Arial" w:cs="Arial"/>
          <w:sz w:val="20"/>
          <w:szCs w:val="20"/>
          <w:lang w:val="en-GB"/>
        </w:rPr>
      </w:pPr>
      <w:r w:rsidRPr="008F3C9E">
        <w:rPr>
          <w:rFonts w:ascii="Arial" w:eastAsia="Calibri" w:hAnsi="Arial" w:cs="Arial"/>
          <w:sz w:val="20"/>
          <w:szCs w:val="20"/>
          <w:lang w:val="en-GB"/>
        </w:rPr>
        <w:t>[Supporting documents: if applicable, key findings of most recent validation reports and/or validation reports]).</w:t>
      </w:r>
    </w:p>
    <w:p w14:paraId="06E0DF12" w14:textId="77777777" w:rsidR="008F3C9E" w:rsidRPr="008F3C9E" w:rsidRDefault="008F3C9E" w:rsidP="008F3C9E">
      <w:pPr>
        <w:numPr>
          <w:ilvl w:val="0"/>
          <w:numId w:val="7"/>
        </w:numPr>
        <w:spacing w:after="120" w:line="240" w:lineRule="auto"/>
        <w:jc w:val="both"/>
        <w:rPr>
          <w:rFonts w:ascii="Arial" w:eastAsia="Calibri" w:hAnsi="Arial" w:cs="Arial"/>
          <w:sz w:val="20"/>
          <w:szCs w:val="20"/>
          <w:lang w:val="en-GB"/>
        </w:rPr>
      </w:pPr>
      <w:r w:rsidRPr="008F3C9E">
        <w:rPr>
          <w:rFonts w:ascii="Arial" w:eastAsia="Calibri" w:hAnsi="Arial" w:cs="Arial"/>
          <w:sz w:val="20"/>
          <w:szCs w:val="20"/>
          <w:lang w:val="en-GB"/>
        </w:rPr>
        <w:t xml:space="preserve">EL calculation methodology (if not covered under pricing). </w:t>
      </w:r>
    </w:p>
    <w:p w14:paraId="7BDA6886" w14:textId="77777777" w:rsidR="008F3C9E" w:rsidRPr="008F3C9E" w:rsidRDefault="008F3C9E" w:rsidP="008F3C9E">
      <w:pPr>
        <w:numPr>
          <w:ilvl w:val="0"/>
          <w:numId w:val="2"/>
        </w:numPr>
        <w:spacing w:after="120" w:line="240" w:lineRule="auto"/>
        <w:jc w:val="both"/>
        <w:rPr>
          <w:rFonts w:ascii="Arial" w:eastAsia="Calibri" w:hAnsi="Arial" w:cs="Arial"/>
          <w:b/>
          <w:sz w:val="20"/>
          <w:szCs w:val="20"/>
          <w:u w:val="single"/>
          <w:lang w:val="en-GB"/>
        </w:rPr>
      </w:pPr>
      <w:r w:rsidRPr="008F3C9E">
        <w:rPr>
          <w:rFonts w:ascii="Arial" w:eastAsia="Calibri" w:hAnsi="Arial" w:cs="Arial"/>
          <w:b/>
          <w:sz w:val="20"/>
          <w:szCs w:val="20"/>
          <w:u w:val="single"/>
          <w:lang w:val="en-GB"/>
        </w:rPr>
        <w:t>Pricing policy</w:t>
      </w:r>
    </w:p>
    <w:p w14:paraId="04E8E0F8" w14:textId="77777777" w:rsidR="008F3C9E" w:rsidRPr="008F3C9E" w:rsidRDefault="008F3C9E" w:rsidP="008F3C9E">
      <w:pPr>
        <w:numPr>
          <w:ilvl w:val="0"/>
          <w:numId w:val="4"/>
        </w:numPr>
        <w:autoSpaceDE w:val="0"/>
        <w:autoSpaceDN w:val="0"/>
        <w:adjustRightInd w:val="0"/>
        <w:spacing w:after="120" w:line="120" w:lineRule="atLeast"/>
        <w:jc w:val="both"/>
        <w:rPr>
          <w:rFonts w:ascii="Arial" w:eastAsia="Calibri" w:hAnsi="Arial" w:cs="Arial"/>
          <w:sz w:val="20"/>
          <w:szCs w:val="20"/>
        </w:rPr>
      </w:pPr>
      <w:r w:rsidRPr="008F3C9E">
        <w:rPr>
          <w:rFonts w:ascii="Arial" w:eastAsia="Times New Roman" w:hAnsi="Arial" w:cs="Arial"/>
          <w:sz w:val="20"/>
          <w:szCs w:val="20"/>
        </w:rPr>
        <w:t>FI’s pricing policy on the targeted underlying exposures broken down to the various pricing components, clearly presenting the risk related margin.</w:t>
      </w:r>
    </w:p>
    <w:p w14:paraId="750B44C2" w14:textId="77777777" w:rsidR="008F3C9E" w:rsidRPr="008F3C9E" w:rsidRDefault="008F3C9E" w:rsidP="008F3C9E">
      <w:pPr>
        <w:autoSpaceDE w:val="0"/>
        <w:autoSpaceDN w:val="0"/>
        <w:adjustRightInd w:val="0"/>
        <w:spacing w:after="0" w:line="240" w:lineRule="auto"/>
        <w:jc w:val="both"/>
        <w:rPr>
          <w:rFonts w:ascii="Arial" w:eastAsia="Calibri" w:hAnsi="Arial" w:cs="Arial"/>
          <w:b/>
          <w:color w:val="000000"/>
          <w:sz w:val="20"/>
          <w:szCs w:val="20"/>
        </w:rPr>
      </w:pPr>
    </w:p>
    <w:p w14:paraId="4C59CF4C" w14:textId="77777777" w:rsidR="008F3C9E" w:rsidRPr="008F3C9E" w:rsidRDefault="008F3C9E" w:rsidP="008F3C9E">
      <w:pPr>
        <w:autoSpaceDE w:val="0"/>
        <w:autoSpaceDN w:val="0"/>
        <w:adjustRightInd w:val="0"/>
        <w:spacing w:after="0" w:line="240" w:lineRule="auto"/>
        <w:jc w:val="both"/>
        <w:rPr>
          <w:rFonts w:ascii="Arial" w:eastAsia="Calibri" w:hAnsi="Arial" w:cs="Arial"/>
          <w:b/>
          <w:color w:val="1F497D"/>
          <w:sz w:val="20"/>
          <w:szCs w:val="20"/>
          <w:u w:val="single"/>
          <w:lang w:val="en-GB"/>
        </w:rPr>
      </w:pPr>
      <w:r w:rsidRPr="008F3C9E">
        <w:rPr>
          <w:rFonts w:ascii="Arial" w:eastAsia="Calibri" w:hAnsi="Arial" w:cs="Arial"/>
          <w:b/>
          <w:color w:val="1F497D"/>
          <w:sz w:val="20"/>
          <w:szCs w:val="20"/>
          <w:u w:val="single"/>
          <w:lang w:val="en-GB"/>
        </w:rPr>
        <w:t>Part 4 - Ownership structure and governance</w:t>
      </w:r>
    </w:p>
    <w:p w14:paraId="2C726429" w14:textId="77777777" w:rsidR="008F3C9E" w:rsidRPr="008F3C9E" w:rsidRDefault="008F3C9E" w:rsidP="008F3C9E">
      <w:pPr>
        <w:autoSpaceDE w:val="0"/>
        <w:autoSpaceDN w:val="0"/>
        <w:adjustRightInd w:val="0"/>
        <w:spacing w:after="0" w:line="240" w:lineRule="auto"/>
        <w:jc w:val="both"/>
        <w:rPr>
          <w:rFonts w:ascii="Arial" w:eastAsia="Calibri" w:hAnsi="Arial" w:cs="Arial"/>
          <w:b/>
          <w:color w:val="1F497D"/>
          <w:sz w:val="20"/>
          <w:szCs w:val="20"/>
          <w:u w:val="single"/>
          <w:lang w:val="en-GB"/>
        </w:rPr>
      </w:pPr>
    </w:p>
    <w:p w14:paraId="3B7952A9" w14:textId="77777777" w:rsidR="008F3C9E" w:rsidRPr="008F3C9E" w:rsidRDefault="008F3C9E" w:rsidP="008F3C9E">
      <w:pPr>
        <w:numPr>
          <w:ilvl w:val="0"/>
          <w:numId w:val="2"/>
        </w:numPr>
        <w:spacing w:after="120" w:line="240" w:lineRule="auto"/>
        <w:jc w:val="both"/>
        <w:rPr>
          <w:rFonts w:ascii="Arial" w:eastAsia="Calibri" w:hAnsi="Arial" w:cs="Arial"/>
          <w:sz w:val="20"/>
          <w:szCs w:val="20"/>
          <w:lang w:val="en-GB"/>
        </w:rPr>
      </w:pPr>
      <w:r w:rsidRPr="008F3C9E">
        <w:rPr>
          <w:rFonts w:ascii="Arial" w:eastAsia="Calibri" w:hAnsi="Arial" w:cs="Arial"/>
          <w:sz w:val="20"/>
          <w:szCs w:val="20"/>
          <w:u w:val="single"/>
          <w:lang w:val="en-GB"/>
        </w:rPr>
        <w:t>Ownership structure</w:t>
      </w:r>
      <w:r w:rsidRPr="008F3C9E">
        <w:rPr>
          <w:rFonts w:ascii="Arial" w:eastAsia="Calibri" w:hAnsi="Arial" w:cs="Arial"/>
          <w:sz w:val="20"/>
          <w:szCs w:val="20"/>
          <w:lang w:val="en-GB"/>
        </w:rPr>
        <w:t>: description of shareholder structure and, if any, of recent or planned developments therein (e.g. mergers, acquisitions, etc.)</w:t>
      </w:r>
      <w:r w:rsidRPr="008F3C9E">
        <w:rPr>
          <w:rFonts w:ascii="Arial" w:eastAsia="Calibri" w:hAnsi="Arial" w:cs="Arial"/>
          <w:sz w:val="20"/>
          <w:szCs w:val="20"/>
          <w:u w:val="single"/>
          <w:lang w:val="en-GB"/>
        </w:rPr>
        <w:t xml:space="preserve"> </w:t>
      </w:r>
    </w:p>
    <w:p w14:paraId="3864E819" w14:textId="77777777" w:rsidR="008F3C9E" w:rsidRPr="008F3C9E" w:rsidRDefault="008F3C9E" w:rsidP="008F3C9E">
      <w:pPr>
        <w:numPr>
          <w:ilvl w:val="0"/>
          <w:numId w:val="2"/>
        </w:numPr>
        <w:spacing w:after="120" w:line="240" w:lineRule="auto"/>
        <w:jc w:val="both"/>
        <w:rPr>
          <w:rFonts w:ascii="Arial" w:eastAsia="Calibri" w:hAnsi="Arial" w:cs="Arial"/>
          <w:sz w:val="20"/>
          <w:szCs w:val="20"/>
          <w:lang w:val="en-GB"/>
        </w:rPr>
      </w:pPr>
      <w:r w:rsidRPr="008F3C9E">
        <w:rPr>
          <w:rFonts w:ascii="Arial" w:eastAsia="Calibri" w:hAnsi="Arial" w:cs="Arial"/>
          <w:bCs/>
          <w:sz w:val="20"/>
          <w:szCs w:val="20"/>
          <w:u w:val="single"/>
          <w:lang w:val="en-GB"/>
        </w:rPr>
        <w:t>Corporate governance</w:t>
      </w:r>
      <w:r w:rsidRPr="008F3C9E">
        <w:rPr>
          <w:rFonts w:ascii="Arial" w:eastAsia="Calibri" w:hAnsi="Arial" w:cs="Arial"/>
          <w:bCs/>
          <w:sz w:val="20"/>
          <w:szCs w:val="20"/>
          <w:lang w:val="en-GB"/>
        </w:rPr>
        <w:t>:</w:t>
      </w:r>
    </w:p>
    <w:p w14:paraId="1228E498" w14:textId="77777777" w:rsidR="008F3C9E" w:rsidRPr="008F3C9E" w:rsidRDefault="008F3C9E" w:rsidP="008F3C9E">
      <w:pPr>
        <w:numPr>
          <w:ilvl w:val="0"/>
          <w:numId w:val="1"/>
        </w:numPr>
        <w:spacing w:after="120" w:line="240" w:lineRule="auto"/>
        <w:jc w:val="both"/>
        <w:rPr>
          <w:rFonts w:ascii="Arial" w:eastAsia="Calibri" w:hAnsi="Arial" w:cs="Arial"/>
          <w:sz w:val="20"/>
          <w:szCs w:val="20"/>
          <w:lang w:val="en-GB"/>
        </w:rPr>
      </w:pPr>
      <w:r w:rsidRPr="008F3C9E">
        <w:rPr>
          <w:rFonts w:ascii="Arial" w:eastAsia="Calibri" w:hAnsi="Arial" w:cs="Arial"/>
          <w:bCs/>
          <w:sz w:val="20"/>
          <w:szCs w:val="20"/>
          <w:u w:val="single"/>
          <w:lang w:val="en-GB"/>
        </w:rPr>
        <w:t>Governing and statutory bodies</w:t>
      </w:r>
      <w:r w:rsidRPr="008F3C9E">
        <w:rPr>
          <w:rFonts w:ascii="Arial" w:eastAsia="Calibri" w:hAnsi="Arial" w:cs="Arial"/>
          <w:bCs/>
          <w:sz w:val="20"/>
          <w:szCs w:val="20"/>
          <w:lang w:val="en-GB"/>
        </w:rPr>
        <w:t xml:space="preserve">: key </w:t>
      </w:r>
      <w:r w:rsidRPr="008F3C9E">
        <w:rPr>
          <w:rFonts w:ascii="Arial" w:eastAsia="Calibri" w:hAnsi="Arial" w:cs="Arial"/>
          <w:sz w:val="20"/>
          <w:szCs w:val="20"/>
          <w:lang w:val="en-GB"/>
        </w:rPr>
        <w:t xml:space="preserve">responsibilities, composition, method of appointment, and summary of key decision procedures </w:t>
      </w:r>
    </w:p>
    <w:p w14:paraId="45D66912" w14:textId="4551261C" w:rsidR="008F3C9E" w:rsidRPr="008F3C9E" w:rsidRDefault="008F3C9E" w:rsidP="008F3C9E">
      <w:pPr>
        <w:numPr>
          <w:ilvl w:val="0"/>
          <w:numId w:val="1"/>
        </w:numPr>
        <w:spacing w:after="120" w:line="240" w:lineRule="auto"/>
        <w:jc w:val="both"/>
        <w:rPr>
          <w:rFonts w:ascii="Arial" w:eastAsia="Calibri" w:hAnsi="Arial" w:cs="Arial"/>
          <w:sz w:val="20"/>
          <w:szCs w:val="20"/>
          <w:lang w:val="en-GB"/>
        </w:rPr>
      </w:pPr>
      <w:r w:rsidRPr="008F3C9E">
        <w:rPr>
          <w:rFonts w:ascii="Arial" w:eastAsia="Calibri" w:hAnsi="Arial" w:cs="Arial"/>
          <w:sz w:val="20"/>
          <w:szCs w:val="20"/>
          <w:u w:val="single"/>
          <w:lang w:val="en-GB"/>
        </w:rPr>
        <w:t xml:space="preserve">Organisation chart </w:t>
      </w:r>
      <w:r w:rsidRPr="008F3C9E">
        <w:rPr>
          <w:rFonts w:ascii="Arial" w:eastAsia="Calibri" w:hAnsi="Arial" w:cs="Arial"/>
          <w:sz w:val="20"/>
          <w:szCs w:val="20"/>
          <w:lang w:val="en-GB"/>
        </w:rPr>
        <w:t xml:space="preserve">highlighting the functions/teams to be involved in the deployment of the </w:t>
      </w:r>
      <w:r w:rsidR="00DA156A">
        <w:rPr>
          <w:rFonts w:ascii="Arial" w:eastAsia="Calibri" w:hAnsi="Arial" w:cs="Arial"/>
          <w:sz w:val="20"/>
          <w:szCs w:val="20"/>
          <w:lang w:val="en-GB"/>
        </w:rPr>
        <w:t>GSLS</w:t>
      </w:r>
    </w:p>
    <w:p w14:paraId="4D89A6D0" w14:textId="185600F8" w:rsidR="008F3C9E" w:rsidRPr="008F3C9E" w:rsidRDefault="008F3C9E" w:rsidP="008F3C9E">
      <w:pPr>
        <w:numPr>
          <w:ilvl w:val="0"/>
          <w:numId w:val="2"/>
        </w:numPr>
        <w:spacing w:after="120" w:line="240" w:lineRule="auto"/>
        <w:jc w:val="both"/>
        <w:rPr>
          <w:rFonts w:ascii="Arial" w:eastAsia="Calibri" w:hAnsi="Arial" w:cs="Arial"/>
          <w:sz w:val="20"/>
          <w:szCs w:val="20"/>
          <w:lang w:val="en-GB"/>
        </w:rPr>
      </w:pPr>
      <w:r w:rsidRPr="008F3C9E">
        <w:rPr>
          <w:rFonts w:ascii="Arial" w:eastAsia="Calibri" w:hAnsi="Arial" w:cs="Arial"/>
          <w:sz w:val="20"/>
          <w:szCs w:val="20"/>
          <w:u w:val="single"/>
          <w:lang w:val="en-GB"/>
        </w:rPr>
        <w:lastRenderedPageBreak/>
        <w:t>“Mandate management” team</w:t>
      </w:r>
      <w:r w:rsidRPr="008F3C9E">
        <w:rPr>
          <w:rFonts w:ascii="Arial" w:eastAsia="Calibri" w:hAnsi="Arial" w:cs="Arial"/>
          <w:sz w:val="20"/>
          <w:szCs w:val="20"/>
          <w:lang w:val="en-GB"/>
        </w:rPr>
        <w:t xml:space="preserve">: describe how the team that will be managing the </w:t>
      </w:r>
      <w:r w:rsidR="00DA156A">
        <w:rPr>
          <w:rFonts w:ascii="Arial" w:eastAsia="Calibri" w:hAnsi="Arial" w:cs="Arial"/>
          <w:sz w:val="20"/>
          <w:szCs w:val="20"/>
          <w:lang w:val="en-GB"/>
        </w:rPr>
        <w:t>GSLS</w:t>
      </w:r>
      <w:r w:rsidRPr="008F3C9E">
        <w:rPr>
          <w:rFonts w:ascii="Arial" w:eastAsia="Calibri" w:hAnsi="Arial" w:cs="Arial"/>
          <w:sz w:val="20"/>
          <w:szCs w:val="20"/>
          <w:lang w:val="en-GB"/>
        </w:rPr>
        <w:t xml:space="preserve"> product fits into the broader organisation of the FI and indicate the departments that would contribute to both the mandate and other activities of the FI such as the risk management or legal departments</w:t>
      </w:r>
    </w:p>
    <w:p w14:paraId="34D15A25" w14:textId="77777777" w:rsidR="008F3C9E" w:rsidRPr="008F3C9E" w:rsidRDefault="008F3C9E" w:rsidP="008F3C9E">
      <w:pPr>
        <w:numPr>
          <w:ilvl w:val="0"/>
          <w:numId w:val="2"/>
        </w:numPr>
        <w:spacing w:after="120" w:line="240" w:lineRule="auto"/>
        <w:jc w:val="both"/>
        <w:rPr>
          <w:rFonts w:ascii="Arial" w:eastAsia="Calibri" w:hAnsi="Arial" w:cs="Arial"/>
          <w:sz w:val="20"/>
          <w:szCs w:val="20"/>
          <w:lang w:val="en-GB"/>
        </w:rPr>
      </w:pPr>
      <w:r w:rsidRPr="008F3C9E">
        <w:rPr>
          <w:rFonts w:ascii="Arial" w:eastAsia="Calibri" w:hAnsi="Arial" w:cs="Arial"/>
          <w:sz w:val="20"/>
          <w:szCs w:val="20"/>
          <w:lang w:val="en-GB"/>
        </w:rPr>
        <w:t xml:space="preserve">If the FI is a subsidiary of a wider group, provide a brief description of its relationship with the Parent company </w:t>
      </w:r>
    </w:p>
    <w:p w14:paraId="5E7C1C73" w14:textId="6C204BED" w:rsidR="008F3C9E" w:rsidRPr="008F3C9E" w:rsidRDefault="00DA156A" w:rsidP="008F3C9E">
      <w:pPr>
        <w:numPr>
          <w:ilvl w:val="0"/>
          <w:numId w:val="2"/>
        </w:numPr>
        <w:spacing w:after="120" w:line="240" w:lineRule="auto"/>
        <w:jc w:val="both"/>
        <w:rPr>
          <w:rFonts w:ascii="Arial" w:eastAsia="Calibri" w:hAnsi="Arial" w:cs="Arial"/>
          <w:b/>
          <w:color w:val="1F497D"/>
          <w:sz w:val="20"/>
          <w:szCs w:val="20"/>
          <w:u w:val="single"/>
          <w:lang w:val="en-GB"/>
        </w:rPr>
      </w:pPr>
      <w:r>
        <w:rPr>
          <w:rFonts w:ascii="Arial" w:eastAsia="Calibri" w:hAnsi="Arial" w:cs="Arial"/>
          <w:sz w:val="20"/>
          <w:szCs w:val="20"/>
          <w:lang w:val="en-GB"/>
        </w:rPr>
        <w:t>[</w:t>
      </w:r>
      <w:r w:rsidR="008F3C9E" w:rsidRPr="008F3C9E">
        <w:rPr>
          <w:rFonts w:ascii="Arial" w:eastAsia="Calibri" w:hAnsi="Arial" w:cs="Arial"/>
          <w:sz w:val="20"/>
          <w:szCs w:val="20"/>
          <w:lang w:val="en-GB"/>
        </w:rPr>
        <w:t>For Public Banks/ NPBIs: describe the relationship with national/regional government</w:t>
      </w:r>
    </w:p>
    <w:p w14:paraId="5A5C4DE7" w14:textId="77777777" w:rsidR="008F3C9E" w:rsidRPr="008F3C9E" w:rsidRDefault="008F3C9E" w:rsidP="008F3C9E">
      <w:pPr>
        <w:autoSpaceDE w:val="0"/>
        <w:autoSpaceDN w:val="0"/>
        <w:adjustRightInd w:val="0"/>
        <w:spacing w:after="0" w:line="240" w:lineRule="auto"/>
        <w:jc w:val="both"/>
        <w:rPr>
          <w:rFonts w:ascii="Arial" w:eastAsia="Calibri" w:hAnsi="Arial" w:cs="Arial"/>
          <w:color w:val="1F497D"/>
          <w:sz w:val="20"/>
          <w:szCs w:val="20"/>
          <w:u w:val="single"/>
          <w:lang w:val="en-GB"/>
        </w:rPr>
      </w:pPr>
      <w:r w:rsidRPr="008F3C9E">
        <w:rPr>
          <w:rFonts w:ascii="Arial" w:eastAsia="Calibri" w:hAnsi="Arial" w:cs="Arial"/>
          <w:sz w:val="20"/>
          <w:szCs w:val="20"/>
          <w:u w:val="single"/>
          <w:lang w:val="en-GB"/>
        </w:rPr>
        <w:t>Supporting documents:</w:t>
      </w:r>
    </w:p>
    <w:p w14:paraId="222586DD" w14:textId="77777777" w:rsidR="008F3C9E" w:rsidRPr="008F3C9E" w:rsidRDefault="008F3C9E" w:rsidP="008F3C9E">
      <w:pPr>
        <w:numPr>
          <w:ilvl w:val="0"/>
          <w:numId w:val="1"/>
        </w:numPr>
        <w:spacing w:after="0" w:line="240" w:lineRule="auto"/>
        <w:jc w:val="both"/>
        <w:rPr>
          <w:rFonts w:ascii="Arial" w:eastAsia="Calibri" w:hAnsi="Arial" w:cs="Arial"/>
          <w:sz w:val="20"/>
          <w:szCs w:val="20"/>
          <w:lang w:val="en-GB"/>
        </w:rPr>
      </w:pPr>
      <w:r w:rsidRPr="008F3C9E">
        <w:rPr>
          <w:rFonts w:ascii="Arial" w:eastAsia="Calibri" w:hAnsi="Arial" w:cs="Arial"/>
          <w:sz w:val="20"/>
          <w:szCs w:val="20"/>
          <w:lang w:val="en-GB"/>
        </w:rPr>
        <w:t>Structure chart</w:t>
      </w:r>
    </w:p>
    <w:p w14:paraId="14B38E00" w14:textId="77777777" w:rsidR="008F3C9E" w:rsidRPr="008F3C9E" w:rsidRDefault="008F3C9E" w:rsidP="008F3C9E">
      <w:pPr>
        <w:numPr>
          <w:ilvl w:val="0"/>
          <w:numId w:val="1"/>
        </w:numPr>
        <w:spacing w:after="0" w:line="240" w:lineRule="auto"/>
        <w:jc w:val="both"/>
        <w:rPr>
          <w:rFonts w:ascii="Arial" w:eastAsia="Calibri" w:hAnsi="Arial" w:cs="Arial"/>
          <w:sz w:val="20"/>
          <w:szCs w:val="20"/>
          <w:lang w:val="en-GB"/>
        </w:rPr>
      </w:pPr>
      <w:r w:rsidRPr="008F3C9E">
        <w:rPr>
          <w:rFonts w:ascii="Arial" w:eastAsia="Calibri" w:hAnsi="Arial" w:cs="Arial"/>
          <w:sz w:val="20"/>
          <w:szCs w:val="20"/>
          <w:lang w:val="en-GB"/>
        </w:rPr>
        <w:t>Organisation chart</w:t>
      </w:r>
    </w:p>
    <w:p w14:paraId="475B54F1" w14:textId="2E0DB1D8" w:rsidR="008F3C9E" w:rsidRPr="008F3C9E" w:rsidRDefault="008F3C9E" w:rsidP="008F3C9E">
      <w:pPr>
        <w:numPr>
          <w:ilvl w:val="0"/>
          <w:numId w:val="1"/>
        </w:numPr>
        <w:spacing w:after="0" w:line="240" w:lineRule="auto"/>
        <w:jc w:val="both"/>
        <w:rPr>
          <w:rFonts w:ascii="Arial" w:eastAsia="Calibri" w:hAnsi="Arial" w:cs="Arial"/>
          <w:sz w:val="20"/>
          <w:szCs w:val="20"/>
          <w:lang w:val="en-GB"/>
        </w:rPr>
      </w:pPr>
      <w:r w:rsidRPr="008F3C9E">
        <w:rPr>
          <w:rFonts w:ascii="Arial" w:eastAsia="Calibri" w:hAnsi="Arial" w:cs="Arial"/>
          <w:sz w:val="20"/>
          <w:szCs w:val="20"/>
          <w:lang w:val="en-GB"/>
        </w:rPr>
        <w:t>Description of FTEs and teams to be involved by the FI</w:t>
      </w:r>
      <w:r w:rsidR="00DA156A">
        <w:rPr>
          <w:rFonts w:ascii="Arial" w:eastAsia="Calibri" w:hAnsi="Arial" w:cs="Arial"/>
          <w:sz w:val="20"/>
          <w:szCs w:val="20"/>
          <w:lang w:val="en-GB"/>
        </w:rPr>
        <w:t>]</w:t>
      </w:r>
    </w:p>
    <w:p w14:paraId="15D66B35" w14:textId="77777777" w:rsidR="008F3C9E" w:rsidRPr="008F3C9E" w:rsidRDefault="008F3C9E" w:rsidP="008F3C9E">
      <w:pPr>
        <w:autoSpaceDE w:val="0"/>
        <w:autoSpaceDN w:val="0"/>
        <w:adjustRightInd w:val="0"/>
        <w:spacing w:after="0" w:line="240" w:lineRule="auto"/>
        <w:jc w:val="both"/>
        <w:rPr>
          <w:rFonts w:ascii="Arial" w:eastAsia="Calibri" w:hAnsi="Arial" w:cs="Arial"/>
          <w:b/>
          <w:color w:val="1F497D"/>
          <w:sz w:val="20"/>
          <w:szCs w:val="20"/>
          <w:u w:val="single"/>
          <w:lang w:val="en-GB"/>
        </w:rPr>
      </w:pPr>
    </w:p>
    <w:p w14:paraId="5DDB98EF" w14:textId="77777777" w:rsidR="008F3C9E" w:rsidRPr="008F3C9E" w:rsidRDefault="008F3C9E" w:rsidP="008F3C9E">
      <w:pPr>
        <w:autoSpaceDE w:val="0"/>
        <w:autoSpaceDN w:val="0"/>
        <w:adjustRightInd w:val="0"/>
        <w:spacing w:after="0" w:line="240" w:lineRule="auto"/>
        <w:jc w:val="both"/>
        <w:rPr>
          <w:rFonts w:ascii="Arial" w:eastAsia="Calibri" w:hAnsi="Arial" w:cs="Arial"/>
          <w:b/>
          <w:color w:val="1F497D"/>
          <w:sz w:val="20"/>
          <w:szCs w:val="20"/>
          <w:u w:val="single"/>
          <w:lang w:val="en-GB"/>
        </w:rPr>
      </w:pPr>
      <w:r w:rsidRPr="008F3C9E">
        <w:rPr>
          <w:rFonts w:ascii="Arial" w:eastAsia="Calibri" w:hAnsi="Arial" w:cs="Arial"/>
          <w:b/>
          <w:color w:val="1F497D"/>
          <w:sz w:val="20"/>
          <w:szCs w:val="20"/>
          <w:u w:val="single"/>
          <w:lang w:val="en-GB"/>
        </w:rPr>
        <w:t>Part 5 - Administrative capacity</w:t>
      </w:r>
    </w:p>
    <w:p w14:paraId="4C86EA01" w14:textId="77777777" w:rsidR="008F3C9E" w:rsidRPr="008F3C9E" w:rsidRDefault="008F3C9E" w:rsidP="008F3C9E">
      <w:pPr>
        <w:autoSpaceDE w:val="0"/>
        <w:autoSpaceDN w:val="0"/>
        <w:adjustRightInd w:val="0"/>
        <w:spacing w:after="0" w:line="240" w:lineRule="auto"/>
        <w:jc w:val="both"/>
        <w:rPr>
          <w:rFonts w:ascii="Arial" w:eastAsia="Calibri" w:hAnsi="Arial" w:cs="Arial"/>
          <w:b/>
          <w:color w:val="1F497D"/>
          <w:sz w:val="20"/>
          <w:szCs w:val="20"/>
          <w:u w:val="single"/>
          <w:lang w:val="en-GB"/>
        </w:rPr>
      </w:pPr>
    </w:p>
    <w:p w14:paraId="6ECC18C1" w14:textId="77777777" w:rsidR="008F3C9E" w:rsidRPr="008F3C9E" w:rsidRDefault="008F3C9E" w:rsidP="008F3C9E">
      <w:pPr>
        <w:numPr>
          <w:ilvl w:val="0"/>
          <w:numId w:val="2"/>
        </w:numPr>
        <w:spacing w:after="120" w:line="240" w:lineRule="auto"/>
        <w:jc w:val="both"/>
        <w:rPr>
          <w:rFonts w:ascii="Arial" w:eastAsia="Calibri" w:hAnsi="Arial" w:cs="Arial"/>
          <w:sz w:val="20"/>
          <w:szCs w:val="20"/>
          <w:lang w:val="en-GB"/>
        </w:rPr>
      </w:pPr>
      <w:r w:rsidRPr="008F3C9E">
        <w:rPr>
          <w:rFonts w:ascii="Arial" w:eastAsia="Calibri" w:hAnsi="Arial" w:cs="Arial"/>
          <w:sz w:val="20"/>
          <w:szCs w:val="20"/>
          <w:lang w:val="en-GB"/>
        </w:rPr>
        <w:t>Executive summary of the FI’s IT system architecture and management information system, monitoring and reporting procedures and responsibilities</w:t>
      </w:r>
    </w:p>
    <w:p w14:paraId="26DE8FA3" w14:textId="77777777" w:rsidR="008F3C9E" w:rsidRPr="008F3C9E" w:rsidRDefault="008F3C9E" w:rsidP="008F3C9E">
      <w:pPr>
        <w:numPr>
          <w:ilvl w:val="0"/>
          <w:numId w:val="2"/>
        </w:numPr>
        <w:spacing w:after="120" w:line="240" w:lineRule="auto"/>
        <w:jc w:val="both"/>
        <w:rPr>
          <w:rFonts w:ascii="Arial" w:eastAsia="Calibri" w:hAnsi="Arial" w:cs="Arial"/>
          <w:sz w:val="20"/>
          <w:szCs w:val="20"/>
          <w:lang w:val="en-GB"/>
        </w:rPr>
      </w:pPr>
      <w:r w:rsidRPr="008F3C9E">
        <w:rPr>
          <w:rFonts w:ascii="Arial" w:eastAsia="Calibri" w:hAnsi="Arial" w:cs="Arial"/>
          <w:sz w:val="20"/>
          <w:szCs w:val="20"/>
          <w:lang w:val="en-GB"/>
        </w:rPr>
        <w:t>FI’s monitoring and reporting capabilities and experience in reporting under previous EIB Group operations or other comparable schemes</w:t>
      </w:r>
    </w:p>
    <w:p w14:paraId="43392CDE" w14:textId="09825918" w:rsidR="008F3C9E" w:rsidRPr="008F3C9E" w:rsidRDefault="008F3C9E" w:rsidP="008F3C9E">
      <w:pPr>
        <w:numPr>
          <w:ilvl w:val="0"/>
          <w:numId w:val="2"/>
        </w:numPr>
        <w:spacing w:after="120" w:line="240" w:lineRule="auto"/>
        <w:jc w:val="both"/>
        <w:rPr>
          <w:rFonts w:ascii="Arial" w:eastAsia="Calibri" w:hAnsi="Arial" w:cs="Arial"/>
          <w:sz w:val="20"/>
          <w:szCs w:val="20"/>
          <w:lang w:val="en-GB"/>
        </w:rPr>
      </w:pPr>
      <w:r w:rsidRPr="008F3C9E">
        <w:rPr>
          <w:rFonts w:ascii="Arial" w:eastAsia="Calibri" w:hAnsi="Arial" w:cs="Arial"/>
          <w:sz w:val="20"/>
          <w:szCs w:val="20"/>
          <w:lang w:val="en-GB"/>
        </w:rPr>
        <w:t xml:space="preserve">Ability of the FI to comply with the reporting and monitoring requirements linked to the </w:t>
      </w:r>
      <w:r w:rsidR="00DA156A">
        <w:rPr>
          <w:rFonts w:ascii="Arial" w:eastAsia="Calibri" w:hAnsi="Arial" w:cs="Arial"/>
          <w:sz w:val="20"/>
          <w:szCs w:val="20"/>
          <w:lang w:val="en-GB"/>
        </w:rPr>
        <w:t>GSLS</w:t>
      </w:r>
      <w:r w:rsidR="00BD6724">
        <w:rPr>
          <w:rFonts w:ascii="Arial" w:eastAsia="Calibri" w:hAnsi="Arial" w:cs="Arial"/>
          <w:sz w:val="20"/>
          <w:szCs w:val="20"/>
          <w:lang w:val="en-GB"/>
        </w:rPr>
        <w:t xml:space="preserve"> </w:t>
      </w:r>
      <w:r w:rsidRPr="008F3C9E">
        <w:rPr>
          <w:rFonts w:ascii="Arial" w:eastAsia="Calibri" w:hAnsi="Arial" w:cs="Arial"/>
          <w:sz w:val="20"/>
          <w:szCs w:val="20"/>
          <w:lang w:val="en-GB"/>
        </w:rPr>
        <w:t>product, taking into consideration the FI’s monitoring and reporting procedures and responsibilities and its IT systems.</w:t>
      </w:r>
    </w:p>
    <w:p w14:paraId="037B1386" w14:textId="77777777" w:rsidR="008F3C9E" w:rsidRPr="008F3C9E" w:rsidRDefault="008F3C9E" w:rsidP="008F3C9E">
      <w:pPr>
        <w:autoSpaceDE w:val="0"/>
        <w:autoSpaceDN w:val="0"/>
        <w:adjustRightInd w:val="0"/>
        <w:spacing w:after="0" w:line="240" w:lineRule="auto"/>
        <w:jc w:val="both"/>
        <w:rPr>
          <w:rFonts w:ascii="Arial" w:eastAsia="Calibri" w:hAnsi="Arial" w:cs="Arial"/>
          <w:b/>
          <w:color w:val="1F497D"/>
          <w:sz w:val="20"/>
          <w:szCs w:val="20"/>
          <w:u w:val="single"/>
          <w:lang w:val="en-GB"/>
        </w:rPr>
      </w:pPr>
    </w:p>
    <w:p w14:paraId="23A8AB1D" w14:textId="373F38E7" w:rsidR="008F3C9E" w:rsidRPr="008F3C9E" w:rsidRDefault="008F3C9E" w:rsidP="008F3C9E">
      <w:pPr>
        <w:autoSpaceDE w:val="0"/>
        <w:autoSpaceDN w:val="0"/>
        <w:adjustRightInd w:val="0"/>
        <w:spacing w:after="0" w:line="240" w:lineRule="auto"/>
        <w:jc w:val="both"/>
        <w:rPr>
          <w:rFonts w:ascii="Arial" w:eastAsia="Calibri" w:hAnsi="Arial" w:cs="Arial"/>
          <w:b/>
          <w:color w:val="1F497D"/>
          <w:sz w:val="20"/>
          <w:szCs w:val="20"/>
          <w:u w:val="single"/>
          <w:lang w:val="en-GB"/>
        </w:rPr>
      </w:pPr>
      <w:r w:rsidRPr="008F3C9E">
        <w:rPr>
          <w:rFonts w:ascii="Arial" w:eastAsia="Calibri" w:hAnsi="Arial" w:cs="Arial"/>
          <w:b/>
          <w:color w:val="1F497D"/>
          <w:sz w:val="20"/>
          <w:szCs w:val="20"/>
          <w:u w:val="single"/>
          <w:lang w:val="en-GB"/>
        </w:rPr>
        <w:t>Part 6- Prior experience with the EIB</w:t>
      </w:r>
      <w:r w:rsidR="00601DFD">
        <w:rPr>
          <w:rFonts w:ascii="Arial" w:eastAsia="Calibri" w:hAnsi="Arial" w:cs="Arial"/>
          <w:b/>
          <w:color w:val="1F497D"/>
          <w:sz w:val="20"/>
          <w:szCs w:val="20"/>
          <w:u w:val="single"/>
          <w:lang w:val="en-GB"/>
        </w:rPr>
        <w:t xml:space="preserve"> Group</w:t>
      </w:r>
    </w:p>
    <w:p w14:paraId="18B92A30" w14:textId="77777777" w:rsidR="008F3C9E" w:rsidRPr="008F3C9E" w:rsidRDefault="008F3C9E" w:rsidP="008F3C9E">
      <w:pPr>
        <w:autoSpaceDE w:val="0"/>
        <w:autoSpaceDN w:val="0"/>
        <w:adjustRightInd w:val="0"/>
        <w:spacing w:after="0" w:line="240" w:lineRule="auto"/>
        <w:jc w:val="both"/>
        <w:rPr>
          <w:rFonts w:ascii="Arial" w:eastAsia="Calibri" w:hAnsi="Arial" w:cs="Arial"/>
          <w:b/>
          <w:color w:val="1F497D"/>
          <w:sz w:val="20"/>
          <w:szCs w:val="20"/>
          <w:u w:val="single"/>
          <w:lang w:val="en-GB"/>
        </w:rPr>
      </w:pPr>
    </w:p>
    <w:p w14:paraId="12944530" w14:textId="77777777" w:rsidR="008F3C9E" w:rsidRPr="008F3C9E" w:rsidRDefault="008F3C9E" w:rsidP="008F3C9E">
      <w:pPr>
        <w:numPr>
          <w:ilvl w:val="0"/>
          <w:numId w:val="2"/>
        </w:numPr>
        <w:spacing w:after="120" w:line="240" w:lineRule="auto"/>
        <w:jc w:val="both"/>
        <w:rPr>
          <w:rFonts w:ascii="Arial" w:eastAsia="Calibri" w:hAnsi="Arial" w:cs="Arial"/>
          <w:sz w:val="20"/>
          <w:szCs w:val="20"/>
          <w:lang w:val="en-GB"/>
        </w:rPr>
      </w:pPr>
      <w:r w:rsidRPr="008F3C9E">
        <w:rPr>
          <w:rFonts w:ascii="Arial" w:eastAsia="Calibri" w:hAnsi="Arial" w:cs="Arial"/>
          <w:sz w:val="20"/>
          <w:szCs w:val="20"/>
          <w:lang w:val="en-GB"/>
        </w:rPr>
        <w:t xml:space="preserve">Describe prior experience of the FI with EIB Group </w:t>
      </w:r>
      <w:r w:rsidR="00F80A5A">
        <w:rPr>
          <w:rFonts w:ascii="Arial" w:eastAsia="Calibri" w:hAnsi="Arial" w:cs="Arial"/>
          <w:sz w:val="20"/>
          <w:szCs w:val="20"/>
          <w:lang w:val="en-GB"/>
        </w:rPr>
        <w:t xml:space="preserve">(EIB and/or EIF) </w:t>
      </w:r>
      <w:r w:rsidRPr="008F3C9E">
        <w:rPr>
          <w:rFonts w:ascii="Arial" w:eastAsia="Calibri" w:hAnsi="Arial" w:cs="Arial"/>
          <w:sz w:val="20"/>
          <w:szCs w:val="20"/>
          <w:lang w:val="en-GB"/>
        </w:rPr>
        <w:t>including experience with other EIB Group mandates</w:t>
      </w:r>
    </w:p>
    <w:p w14:paraId="5D2EFC6E" w14:textId="77777777" w:rsidR="008F3C9E" w:rsidRPr="008F3C9E" w:rsidRDefault="008F3C9E" w:rsidP="008F3C9E">
      <w:pPr>
        <w:autoSpaceDE w:val="0"/>
        <w:autoSpaceDN w:val="0"/>
        <w:adjustRightInd w:val="0"/>
        <w:spacing w:after="0" w:line="240" w:lineRule="auto"/>
        <w:jc w:val="both"/>
        <w:rPr>
          <w:rFonts w:ascii="Arial" w:eastAsia="Calibri" w:hAnsi="Arial" w:cs="Arial"/>
          <w:b/>
          <w:color w:val="1F497D"/>
          <w:sz w:val="20"/>
          <w:szCs w:val="20"/>
          <w:u w:val="single"/>
          <w:lang w:val="en-GB"/>
        </w:rPr>
      </w:pPr>
    </w:p>
    <w:p w14:paraId="6E96F86D" w14:textId="5B79F5A9" w:rsidR="008F3C9E" w:rsidRPr="008F3C9E" w:rsidRDefault="008F3C9E" w:rsidP="008F3C9E">
      <w:pPr>
        <w:autoSpaceDE w:val="0"/>
        <w:autoSpaceDN w:val="0"/>
        <w:adjustRightInd w:val="0"/>
        <w:spacing w:after="0" w:line="240" w:lineRule="auto"/>
        <w:jc w:val="both"/>
        <w:rPr>
          <w:rFonts w:ascii="Arial" w:eastAsia="Calibri" w:hAnsi="Arial" w:cs="Arial"/>
          <w:b/>
          <w:color w:val="1F497D"/>
          <w:sz w:val="20"/>
          <w:szCs w:val="20"/>
          <w:u w:val="single"/>
          <w:lang w:val="en-GB"/>
        </w:rPr>
      </w:pPr>
      <w:r w:rsidRPr="008F3C9E">
        <w:rPr>
          <w:rFonts w:ascii="Arial" w:eastAsia="Calibri" w:hAnsi="Arial" w:cs="Arial"/>
          <w:b/>
          <w:color w:val="1F497D"/>
          <w:sz w:val="20"/>
          <w:szCs w:val="20"/>
          <w:u w:val="single"/>
          <w:lang w:val="en-GB"/>
        </w:rPr>
        <w:t xml:space="preserve">Part 7 </w:t>
      </w:r>
      <w:r w:rsidR="00E629EC">
        <w:rPr>
          <w:rFonts w:ascii="Arial" w:eastAsia="Calibri" w:hAnsi="Arial" w:cs="Arial"/>
          <w:b/>
          <w:color w:val="1F497D"/>
          <w:sz w:val="20"/>
          <w:szCs w:val="20"/>
          <w:u w:val="single"/>
          <w:lang w:val="en-GB"/>
        </w:rPr>
        <w:t>–</w:t>
      </w:r>
      <w:r w:rsidRPr="008F3C9E">
        <w:rPr>
          <w:rFonts w:ascii="Arial" w:eastAsia="Calibri" w:hAnsi="Arial" w:cs="Arial"/>
          <w:b/>
          <w:color w:val="1F497D"/>
          <w:sz w:val="20"/>
          <w:szCs w:val="20"/>
          <w:u w:val="single"/>
          <w:lang w:val="en-GB"/>
        </w:rPr>
        <w:t xml:space="preserve"> </w:t>
      </w:r>
      <w:r w:rsidR="00E629EC">
        <w:rPr>
          <w:rFonts w:ascii="Arial" w:eastAsia="Calibri" w:hAnsi="Arial" w:cs="Arial"/>
          <w:b/>
          <w:color w:val="1F497D"/>
          <w:sz w:val="20"/>
          <w:szCs w:val="20"/>
          <w:u w:val="single"/>
          <w:lang w:val="en-GB"/>
        </w:rPr>
        <w:t>Expected c</w:t>
      </w:r>
      <w:r w:rsidRPr="008F3C9E">
        <w:rPr>
          <w:rFonts w:ascii="Arial" w:eastAsia="Calibri" w:hAnsi="Arial" w:cs="Arial"/>
          <w:b/>
          <w:color w:val="1F497D"/>
          <w:sz w:val="20"/>
          <w:szCs w:val="20"/>
          <w:u w:val="single"/>
          <w:lang w:val="en-GB"/>
        </w:rPr>
        <w:t xml:space="preserve">omposition and quality of the </w:t>
      </w:r>
      <w:r w:rsidR="00DA156A">
        <w:rPr>
          <w:rFonts w:ascii="Arial" w:eastAsia="Calibri" w:hAnsi="Arial" w:cs="Arial"/>
          <w:b/>
          <w:color w:val="1F497D"/>
          <w:sz w:val="20"/>
          <w:szCs w:val="20"/>
          <w:u w:val="single"/>
          <w:lang w:val="en-GB"/>
        </w:rPr>
        <w:t>GSLS</w:t>
      </w:r>
      <w:r w:rsidRPr="008F3C9E">
        <w:rPr>
          <w:rFonts w:ascii="Arial" w:eastAsia="Calibri" w:hAnsi="Arial" w:cs="Arial"/>
          <w:b/>
          <w:color w:val="1F497D"/>
          <w:sz w:val="20"/>
          <w:szCs w:val="20"/>
          <w:u w:val="single"/>
          <w:lang w:val="en-GB"/>
        </w:rPr>
        <w:t xml:space="preserve"> portfolio</w:t>
      </w:r>
    </w:p>
    <w:p w14:paraId="30C56017" w14:textId="77777777" w:rsidR="008F3C9E" w:rsidRPr="008F3C9E" w:rsidRDefault="008F3C9E" w:rsidP="008F3C9E">
      <w:pPr>
        <w:autoSpaceDE w:val="0"/>
        <w:autoSpaceDN w:val="0"/>
        <w:adjustRightInd w:val="0"/>
        <w:spacing w:after="0" w:line="240" w:lineRule="auto"/>
        <w:jc w:val="both"/>
        <w:rPr>
          <w:rFonts w:ascii="Arial" w:eastAsia="Calibri" w:hAnsi="Arial" w:cs="Arial"/>
          <w:b/>
          <w:color w:val="1F497D"/>
          <w:sz w:val="20"/>
          <w:szCs w:val="20"/>
          <w:u w:val="single"/>
          <w:lang w:val="en-GB"/>
        </w:rPr>
      </w:pPr>
    </w:p>
    <w:p w14:paraId="1F041AD0" w14:textId="1435698A" w:rsidR="008F3C9E" w:rsidRPr="008F3C9E" w:rsidRDefault="008F3C9E" w:rsidP="008F3C9E">
      <w:pPr>
        <w:autoSpaceDE w:val="0"/>
        <w:autoSpaceDN w:val="0"/>
        <w:adjustRightInd w:val="0"/>
        <w:spacing w:after="120" w:line="120" w:lineRule="atLeast"/>
        <w:jc w:val="both"/>
        <w:rPr>
          <w:rFonts w:ascii="Arial" w:eastAsia="Calibri" w:hAnsi="Arial" w:cs="Arial"/>
          <w:sz w:val="20"/>
          <w:szCs w:val="20"/>
        </w:rPr>
      </w:pPr>
      <w:r w:rsidRPr="008F3C9E">
        <w:rPr>
          <w:rFonts w:ascii="Arial" w:eastAsia="Times New Roman" w:hAnsi="Arial" w:cs="Arial"/>
          <w:sz w:val="20"/>
          <w:szCs w:val="20"/>
        </w:rPr>
        <w:t xml:space="preserve">Information on </w:t>
      </w:r>
      <w:r w:rsidRPr="008F3C9E">
        <w:rPr>
          <w:rFonts w:ascii="Arial" w:eastAsia="Times New Roman" w:hAnsi="Arial" w:cs="Arial"/>
          <w:sz w:val="20"/>
          <w:szCs w:val="20"/>
          <w:lang w:val="en-GB"/>
        </w:rPr>
        <w:t xml:space="preserve">FI’s existing portfolio composition (on </w:t>
      </w:r>
      <w:r w:rsidR="00E629EC">
        <w:rPr>
          <w:rFonts w:ascii="Arial" w:eastAsia="Times New Roman" w:hAnsi="Arial" w:cs="Arial"/>
          <w:sz w:val="20"/>
          <w:szCs w:val="20"/>
          <w:lang w:val="en-GB"/>
        </w:rPr>
        <w:t xml:space="preserve">similar </w:t>
      </w:r>
      <w:r w:rsidRPr="008F3C9E">
        <w:rPr>
          <w:rFonts w:ascii="Arial" w:eastAsia="Times New Roman" w:hAnsi="Arial" w:cs="Arial"/>
          <w:sz w:val="20"/>
          <w:szCs w:val="20"/>
          <w:lang w:val="en-GB"/>
        </w:rPr>
        <w:t xml:space="preserve">asset types expected to be guaranteed under the </w:t>
      </w:r>
      <w:r w:rsidR="00DA156A">
        <w:rPr>
          <w:rFonts w:ascii="Arial" w:eastAsia="Times New Roman" w:hAnsi="Arial" w:cs="Arial"/>
          <w:sz w:val="20"/>
          <w:szCs w:val="20"/>
          <w:lang w:val="en-GB"/>
        </w:rPr>
        <w:t>GSLS</w:t>
      </w:r>
      <w:r w:rsidRPr="008F3C9E">
        <w:rPr>
          <w:rFonts w:ascii="Arial" w:eastAsia="Times New Roman" w:hAnsi="Arial" w:cs="Arial"/>
          <w:sz w:val="20"/>
          <w:szCs w:val="20"/>
          <w:lang w:val="en-GB"/>
        </w:rPr>
        <w:t xml:space="preserve">) in terms of: </w:t>
      </w:r>
    </w:p>
    <w:p w14:paraId="7B8569D6" w14:textId="77777777" w:rsidR="008F3C9E" w:rsidRPr="008F3C9E" w:rsidRDefault="008F3C9E" w:rsidP="008F3C9E">
      <w:pPr>
        <w:numPr>
          <w:ilvl w:val="0"/>
          <w:numId w:val="4"/>
        </w:numPr>
        <w:autoSpaceDE w:val="0"/>
        <w:autoSpaceDN w:val="0"/>
        <w:adjustRightInd w:val="0"/>
        <w:spacing w:after="120" w:line="120" w:lineRule="atLeast"/>
        <w:jc w:val="both"/>
        <w:rPr>
          <w:rFonts w:ascii="Arial" w:eastAsia="Calibri" w:hAnsi="Arial" w:cs="Arial"/>
          <w:sz w:val="20"/>
          <w:szCs w:val="20"/>
        </w:rPr>
      </w:pPr>
      <w:r w:rsidRPr="008F3C9E">
        <w:rPr>
          <w:rFonts w:ascii="Arial" w:eastAsia="Times New Roman" w:hAnsi="Arial" w:cs="Arial"/>
          <w:sz w:val="20"/>
          <w:szCs w:val="20"/>
          <w:lang w:val="en-GB"/>
        </w:rPr>
        <w:t>internal rating distribution;</w:t>
      </w:r>
    </w:p>
    <w:p w14:paraId="483A337F" w14:textId="77777777" w:rsidR="008F3C9E" w:rsidRPr="008F3C9E" w:rsidRDefault="008F3C9E" w:rsidP="008F3C9E">
      <w:pPr>
        <w:numPr>
          <w:ilvl w:val="0"/>
          <w:numId w:val="4"/>
        </w:numPr>
        <w:autoSpaceDE w:val="0"/>
        <w:autoSpaceDN w:val="0"/>
        <w:adjustRightInd w:val="0"/>
        <w:spacing w:after="120" w:line="120" w:lineRule="atLeast"/>
        <w:jc w:val="both"/>
        <w:rPr>
          <w:rFonts w:ascii="Arial" w:eastAsia="Calibri" w:hAnsi="Arial" w:cs="Arial"/>
          <w:sz w:val="20"/>
          <w:szCs w:val="20"/>
        </w:rPr>
      </w:pPr>
      <w:r w:rsidRPr="008F3C9E">
        <w:rPr>
          <w:rFonts w:ascii="Arial" w:eastAsia="Times New Roman" w:hAnsi="Arial" w:cs="Arial"/>
          <w:sz w:val="20"/>
          <w:szCs w:val="20"/>
          <w:lang w:val="en-GB"/>
        </w:rPr>
        <w:t>proportion of fully secured, partially secured and unsecured loans;</w:t>
      </w:r>
    </w:p>
    <w:p w14:paraId="7BD6799B" w14:textId="77777777" w:rsidR="008F3C9E" w:rsidRPr="008F3C9E" w:rsidRDefault="008F3C9E" w:rsidP="008F3C9E">
      <w:pPr>
        <w:numPr>
          <w:ilvl w:val="0"/>
          <w:numId w:val="4"/>
        </w:numPr>
        <w:autoSpaceDE w:val="0"/>
        <w:autoSpaceDN w:val="0"/>
        <w:adjustRightInd w:val="0"/>
        <w:spacing w:after="120" w:line="120" w:lineRule="atLeast"/>
        <w:jc w:val="both"/>
        <w:rPr>
          <w:rFonts w:ascii="Arial" w:eastAsia="Calibri" w:hAnsi="Arial" w:cs="Arial"/>
          <w:sz w:val="20"/>
          <w:szCs w:val="20"/>
        </w:rPr>
      </w:pPr>
      <w:r w:rsidRPr="008F3C9E">
        <w:rPr>
          <w:rFonts w:ascii="Arial" w:eastAsia="Times New Roman" w:hAnsi="Arial" w:cs="Arial"/>
          <w:sz w:val="20"/>
          <w:szCs w:val="20"/>
          <w:lang w:val="en-GB"/>
        </w:rPr>
        <w:t>type of collateral;</w:t>
      </w:r>
    </w:p>
    <w:p w14:paraId="6E0433C8" w14:textId="77777777" w:rsidR="008F3C9E" w:rsidRPr="008F3C9E" w:rsidRDefault="008F3C9E" w:rsidP="008F3C9E">
      <w:pPr>
        <w:numPr>
          <w:ilvl w:val="0"/>
          <w:numId w:val="4"/>
        </w:numPr>
        <w:autoSpaceDE w:val="0"/>
        <w:autoSpaceDN w:val="0"/>
        <w:adjustRightInd w:val="0"/>
        <w:spacing w:after="120" w:line="120" w:lineRule="atLeast"/>
        <w:jc w:val="both"/>
        <w:rPr>
          <w:rFonts w:ascii="Arial" w:eastAsia="Calibri" w:hAnsi="Arial" w:cs="Arial"/>
          <w:sz w:val="20"/>
          <w:szCs w:val="20"/>
        </w:rPr>
      </w:pPr>
      <w:r w:rsidRPr="008F3C9E">
        <w:rPr>
          <w:rFonts w:ascii="Arial" w:eastAsia="Times New Roman" w:hAnsi="Arial" w:cs="Arial"/>
          <w:sz w:val="20"/>
          <w:szCs w:val="20"/>
          <w:lang w:val="en-GB"/>
        </w:rPr>
        <w:t>tenors and grace periods;</w:t>
      </w:r>
    </w:p>
    <w:p w14:paraId="32435EE4" w14:textId="4600BE52" w:rsidR="00F80A5A" w:rsidRPr="00F80A5A" w:rsidRDefault="00E629EC" w:rsidP="00F80A5A">
      <w:pPr>
        <w:numPr>
          <w:ilvl w:val="0"/>
          <w:numId w:val="4"/>
        </w:numPr>
        <w:autoSpaceDE w:val="0"/>
        <w:autoSpaceDN w:val="0"/>
        <w:adjustRightInd w:val="0"/>
        <w:spacing w:after="120" w:line="120" w:lineRule="atLeast"/>
        <w:jc w:val="both"/>
        <w:rPr>
          <w:rFonts w:ascii="Arial" w:eastAsia="Calibri" w:hAnsi="Arial" w:cs="Arial"/>
          <w:sz w:val="20"/>
          <w:szCs w:val="20"/>
        </w:rPr>
      </w:pPr>
      <w:r w:rsidRPr="00BD6724">
        <w:rPr>
          <w:rFonts w:ascii="Arial" w:eastAsia="Times New Roman" w:hAnsi="Arial" w:cs="Arial"/>
          <w:sz w:val="20"/>
          <w:szCs w:val="20"/>
          <w:lang w:val="en-GB"/>
        </w:rPr>
        <w:t xml:space="preserve">regional </w:t>
      </w:r>
      <w:r w:rsidR="008F3C9E" w:rsidRPr="00BD6724">
        <w:rPr>
          <w:rFonts w:ascii="Arial" w:eastAsia="Times New Roman" w:hAnsi="Arial" w:cs="Arial"/>
          <w:sz w:val="20"/>
          <w:szCs w:val="20"/>
          <w:lang w:val="en-GB"/>
        </w:rPr>
        <w:t>distribution;</w:t>
      </w:r>
      <w:r w:rsidR="00F80A5A">
        <w:rPr>
          <w:rFonts w:ascii="Arial" w:eastAsia="Times New Roman" w:hAnsi="Arial" w:cs="Arial"/>
          <w:sz w:val="20"/>
          <w:szCs w:val="20"/>
          <w:lang w:val="en-GB"/>
        </w:rPr>
        <w:t xml:space="preserve"> </w:t>
      </w:r>
      <w:r w:rsidR="00F80A5A" w:rsidRPr="00F80A5A">
        <w:rPr>
          <w:rFonts w:ascii="Arial" w:eastAsia="Times New Roman" w:hAnsi="Arial" w:cs="Arial"/>
          <w:sz w:val="20"/>
          <w:szCs w:val="20"/>
          <w:lang w:val="en-GB"/>
        </w:rPr>
        <w:t>other relevant distribution metrics (</w:t>
      </w:r>
      <w:r w:rsidR="00F80A5A">
        <w:rPr>
          <w:rFonts w:ascii="Arial" w:eastAsia="Times New Roman" w:hAnsi="Arial" w:cs="Arial"/>
          <w:sz w:val="20"/>
          <w:szCs w:val="20"/>
          <w:lang w:val="en-GB"/>
        </w:rPr>
        <w:t xml:space="preserve">e.g. </w:t>
      </w:r>
      <w:r w:rsidR="00F80A5A" w:rsidRPr="00F80A5A">
        <w:rPr>
          <w:rFonts w:ascii="Arial" w:eastAsia="Times New Roman" w:hAnsi="Arial" w:cs="Arial"/>
          <w:sz w:val="20"/>
          <w:szCs w:val="20"/>
          <w:lang w:val="en-GB"/>
        </w:rPr>
        <w:t>type of</w:t>
      </w:r>
      <w:r w:rsidR="00DA156A">
        <w:rPr>
          <w:rFonts w:ascii="Arial" w:eastAsia="Times New Roman" w:hAnsi="Arial" w:cs="Arial"/>
          <w:sz w:val="20"/>
          <w:szCs w:val="20"/>
          <w:lang w:val="en-GB"/>
        </w:rPr>
        <w:t xml:space="preserve"> SMEs/</w:t>
      </w:r>
      <w:proofErr w:type="spellStart"/>
      <w:r w:rsidR="00DA156A">
        <w:rPr>
          <w:rFonts w:ascii="Arial" w:eastAsia="Times New Roman" w:hAnsi="Arial" w:cs="Arial"/>
          <w:sz w:val="20"/>
          <w:szCs w:val="20"/>
          <w:lang w:val="en-GB"/>
        </w:rPr>
        <w:t>MicroSMEs</w:t>
      </w:r>
      <w:proofErr w:type="spellEnd"/>
      <w:r w:rsidR="00DA156A">
        <w:rPr>
          <w:rFonts w:ascii="Arial" w:eastAsia="Times New Roman" w:hAnsi="Arial" w:cs="Arial"/>
          <w:sz w:val="20"/>
          <w:szCs w:val="20"/>
          <w:lang w:val="en-GB"/>
        </w:rPr>
        <w:t>/sectors</w:t>
      </w:r>
      <w:r w:rsidR="00F80A5A" w:rsidRPr="00F80A5A">
        <w:rPr>
          <w:rFonts w:ascii="Arial" w:eastAsia="Times New Roman" w:hAnsi="Arial" w:cs="Arial"/>
          <w:sz w:val="20"/>
          <w:szCs w:val="20"/>
          <w:lang w:val="en-GB"/>
        </w:rPr>
        <w:t>, etc</w:t>
      </w:r>
      <w:r w:rsidR="00F80A5A">
        <w:rPr>
          <w:rFonts w:ascii="Arial" w:eastAsia="Times New Roman" w:hAnsi="Arial" w:cs="Arial"/>
          <w:sz w:val="20"/>
          <w:szCs w:val="20"/>
          <w:lang w:val="en-GB"/>
        </w:rPr>
        <w:t>;</w:t>
      </w:r>
      <w:r w:rsidR="00F80A5A" w:rsidRPr="00F80A5A">
        <w:rPr>
          <w:rFonts w:ascii="Arial" w:eastAsia="Times New Roman" w:hAnsi="Arial" w:cs="Arial"/>
          <w:sz w:val="20"/>
          <w:szCs w:val="20"/>
          <w:lang w:val="en-GB"/>
        </w:rPr>
        <w:t>).</w:t>
      </w:r>
    </w:p>
    <w:p w14:paraId="5D9C2592" w14:textId="59ECF78C" w:rsidR="00E629EC" w:rsidRDefault="008F3C9E" w:rsidP="008F3C9E">
      <w:pPr>
        <w:numPr>
          <w:ilvl w:val="0"/>
          <w:numId w:val="4"/>
        </w:numPr>
        <w:spacing w:after="0" w:line="240" w:lineRule="auto"/>
        <w:contextualSpacing/>
        <w:jc w:val="both"/>
        <w:rPr>
          <w:rFonts w:ascii="Arial" w:eastAsia="Times New Roman" w:hAnsi="Arial" w:cs="Arial"/>
          <w:sz w:val="20"/>
          <w:szCs w:val="20"/>
          <w:lang w:val="en-GB"/>
        </w:rPr>
      </w:pPr>
      <w:r w:rsidRPr="008F3C9E">
        <w:rPr>
          <w:rFonts w:ascii="Arial" w:eastAsia="Times New Roman" w:hAnsi="Arial" w:cs="Arial"/>
          <w:sz w:val="20"/>
          <w:szCs w:val="20"/>
          <w:lang w:val="en-GB"/>
        </w:rPr>
        <w:t xml:space="preserve">NPL data by </w:t>
      </w:r>
      <w:r w:rsidR="00E629EC">
        <w:rPr>
          <w:rFonts w:ascii="Arial" w:eastAsia="Times New Roman" w:hAnsi="Arial" w:cs="Arial"/>
          <w:sz w:val="20"/>
          <w:szCs w:val="20"/>
          <w:lang w:val="en-GB"/>
        </w:rPr>
        <w:t>region</w:t>
      </w:r>
      <w:r w:rsidR="00F80A5A">
        <w:rPr>
          <w:rFonts w:ascii="Arial" w:eastAsia="Times New Roman" w:hAnsi="Arial" w:cs="Arial"/>
          <w:sz w:val="20"/>
          <w:szCs w:val="20"/>
          <w:lang w:val="en-GB"/>
        </w:rPr>
        <w:t xml:space="preserve"> or other relevant distribution metric</w:t>
      </w:r>
      <w:r w:rsidR="00BD6724">
        <w:rPr>
          <w:rFonts w:ascii="Arial" w:eastAsia="Times New Roman" w:hAnsi="Arial" w:cs="Arial"/>
          <w:sz w:val="20"/>
          <w:szCs w:val="20"/>
          <w:lang w:val="en-GB"/>
        </w:rPr>
        <w:t>s</w:t>
      </w:r>
      <w:r w:rsidR="00F80A5A">
        <w:rPr>
          <w:rFonts w:ascii="Arial" w:eastAsia="Times New Roman" w:hAnsi="Arial" w:cs="Arial"/>
          <w:sz w:val="20"/>
          <w:szCs w:val="20"/>
          <w:lang w:val="en-GB"/>
        </w:rPr>
        <w:t xml:space="preserve">. </w:t>
      </w:r>
    </w:p>
    <w:p w14:paraId="02D32B93" w14:textId="77777777" w:rsidR="008F3C9E" w:rsidRPr="008F3C9E" w:rsidRDefault="008F3C9E" w:rsidP="008F3C9E">
      <w:pPr>
        <w:spacing w:after="0" w:line="240" w:lineRule="auto"/>
        <w:ind w:left="720"/>
        <w:contextualSpacing/>
        <w:jc w:val="both"/>
        <w:rPr>
          <w:rFonts w:ascii="Arial" w:eastAsia="Times New Roman" w:hAnsi="Arial" w:cs="Arial"/>
          <w:sz w:val="20"/>
          <w:szCs w:val="20"/>
          <w:lang w:val="en-GB"/>
        </w:rPr>
      </w:pPr>
    </w:p>
    <w:p w14:paraId="7A3B5B26" w14:textId="1FBB0208" w:rsidR="008F3C9E" w:rsidRPr="008F3C9E" w:rsidRDefault="008F3C9E" w:rsidP="008F3C9E">
      <w:pPr>
        <w:autoSpaceDE w:val="0"/>
        <w:autoSpaceDN w:val="0"/>
        <w:adjustRightInd w:val="0"/>
        <w:spacing w:after="120" w:line="120" w:lineRule="atLeast"/>
        <w:jc w:val="both"/>
        <w:rPr>
          <w:rFonts w:ascii="Arial" w:eastAsia="Times New Roman" w:hAnsi="Arial" w:cs="Arial"/>
          <w:sz w:val="20"/>
          <w:szCs w:val="20"/>
        </w:rPr>
      </w:pPr>
      <w:r w:rsidRPr="008F3C9E">
        <w:rPr>
          <w:rFonts w:ascii="Arial" w:eastAsia="Times New Roman" w:hAnsi="Arial" w:cs="Arial"/>
          <w:sz w:val="20"/>
          <w:szCs w:val="20"/>
          <w:lang w:val="en-GB"/>
        </w:rPr>
        <w:t xml:space="preserve">Provide expected composition of the </w:t>
      </w:r>
      <w:r w:rsidR="00DA156A">
        <w:rPr>
          <w:rFonts w:ascii="Arial" w:eastAsia="Times New Roman" w:hAnsi="Arial" w:cs="Arial"/>
          <w:sz w:val="20"/>
          <w:szCs w:val="20"/>
          <w:lang w:val="en-GB"/>
        </w:rPr>
        <w:t>GSLS</w:t>
      </w:r>
      <w:r w:rsidRPr="008F3C9E">
        <w:rPr>
          <w:rFonts w:ascii="Arial" w:eastAsia="Times New Roman" w:hAnsi="Arial" w:cs="Arial"/>
          <w:sz w:val="20"/>
          <w:szCs w:val="20"/>
          <w:lang w:val="en-GB"/>
        </w:rPr>
        <w:t xml:space="preserve"> portfolio to be guaranteed based on the proposed deployment strategy</w:t>
      </w:r>
      <w:r w:rsidRPr="008F3C9E">
        <w:rPr>
          <w:rFonts w:ascii="Arial" w:eastAsia="Times New Roman" w:hAnsi="Arial" w:cs="Arial"/>
          <w:sz w:val="20"/>
          <w:szCs w:val="20"/>
        </w:rPr>
        <w:t>, with respect to:</w:t>
      </w:r>
    </w:p>
    <w:p w14:paraId="5224BC37" w14:textId="77777777" w:rsidR="008F3C9E" w:rsidRPr="008F3C9E" w:rsidRDefault="008F3C9E" w:rsidP="008F3C9E">
      <w:pPr>
        <w:numPr>
          <w:ilvl w:val="0"/>
          <w:numId w:val="3"/>
        </w:numPr>
        <w:autoSpaceDE w:val="0"/>
        <w:autoSpaceDN w:val="0"/>
        <w:adjustRightInd w:val="0"/>
        <w:spacing w:after="120" w:line="120" w:lineRule="atLeast"/>
        <w:jc w:val="both"/>
        <w:rPr>
          <w:rFonts w:ascii="Arial" w:eastAsia="Calibri" w:hAnsi="Arial" w:cs="Arial"/>
          <w:sz w:val="20"/>
          <w:szCs w:val="20"/>
        </w:rPr>
      </w:pPr>
      <w:r w:rsidRPr="008F3C9E">
        <w:rPr>
          <w:rFonts w:ascii="Arial" w:eastAsia="Calibri" w:hAnsi="Arial" w:cs="Arial"/>
          <w:sz w:val="20"/>
          <w:szCs w:val="20"/>
        </w:rPr>
        <w:t xml:space="preserve">min/max loan size of exposures to be </w:t>
      </w:r>
      <w:proofErr w:type="gramStart"/>
      <w:r w:rsidRPr="008F3C9E">
        <w:rPr>
          <w:rFonts w:ascii="Arial" w:eastAsia="Calibri" w:hAnsi="Arial" w:cs="Arial"/>
          <w:sz w:val="20"/>
          <w:szCs w:val="20"/>
        </w:rPr>
        <w:t>guaranteed;</w:t>
      </w:r>
      <w:proofErr w:type="gramEnd"/>
    </w:p>
    <w:p w14:paraId="66555AAD" w14:textId="77777777" w:rsidR="008F3C9E" w:rsidRPr="008F3C9E" w:rsidRDefault="008F3C9E" w:rsidP="008F3C9E">
      <w:pPr>
        <w:numPr>
          <w:ilvl w:val="0"/>
          <w:numId w:val="3"/>
        </w:numPr>
        <w:autoSpaceDE w:val="0"/>
        <w:autoSpaceDN w:val="0"/>
        <w:adjustRightInd w:val="0"/>
        <w:spacing w:after="120" w:line="120" w:lineRule="atLeast"/>
        <w:jc w:val="both"/>
        <w:rPr>
          <w:rFonts w:ascii="Arial" w:eastAsia="Calibri" w:hAnsi="Arial" w:cs="Arial"/>
          <w:sz w:val="20"/>
          <w:szCs w:val="20"/>
        </w:rPr>
      </w:pPr>
      <w:r w:rsidRPr="008F3C9E">
        <w:rPr>
          <w:rFonts w:ascii="Arial" w:eastAsia="Calibri" w:hAnsi="Arial" w:cs="Arial"/>
          <w:sz w:val="20"/>
          <w:szCs w:val="20"/>
        </w:rPr>
        <w:t>min/max tenor by rating category and LGD class</w:t>
      </w:r>
    </w:p>
    <w:p w14:paraId="738490BC" w14:textId="77777777" w:rsidR="008F3C9E" w:rsidRPr="008F3C9E" w:rsidRDefault="008F3C9E" w:rsidP="008F3C9E">
      <w:pPr>
        <w:numPr>
          <w:ilvl w:val="0"/>
          <w:numId w:val="3"/>
        </w:numPr>
        <w:autoSpaceDE w:val="0"/>
        <w:autoSpaceDN w:val="0"/>
        <w:adjustRightInd w:val="0"/>
        <w:spacing w:after="120" w:line="120" w:lineRule="atLeast"/>
        <w:jc w:val="both"/>
        <w:rPr>
          <w:rFonts w:ascii="Arial" w:eastAsia="Calibri" w:hAnsi="Arial" w:cs="Arial"/>
          <w:sz w:val="20"/>
          <w:szCs w:val="20"/>
        </w:rPr>
      </w:pPr>
      <w:r w:rsidRPr="008F3C9E">
        <w:rPr>
          <w:rFonts w:ascii="Arial" w:eastAsia="Calibri" w:hAnsi="Arial" w:cs="Arial"/>
          <w:sz w:val="20"/>
          <w:szCs w:val="20"/>
        </w:rPr>
        <w:t xml:space="preserve">number of exposures to be included in the portfolio and average/typical loan </w:t>
      </w:r>
      <w:proofErr w:type="gramStart"/>
      <w:r w:rsidRPr="008F3C9E">
        <w:rPr>
          <w:rFonts w:ascii="Arial" w:eastAsia="Calibri" w:hAnsi="Arial" w:cs="Arial"/>
          <w:sz w:val="20"/>
          <w:szCs w:val="20"/>
        </w:rPr>
        <w:t>size;</w:t>
      </w:r>
      <w:proofErr w:type="gramEnd"/>
    </w:p>
    <w:p w14:paraId="3FB18019" w14:textId="77777777" w:rsidR="008F3C9E" w:rsidRPr="008F3C9E" w:rsidRDefault="008F3C9E" w:rsidP="008F3C9E">
      <w:pPr>
        <w:numPr>
          <w:ilvl w:val="0"/>
          <w:numId w:val="3"/>
        </w:numPr>
        <w:autoSpaceDE w:val="0"/>
        <w:autoSpaceDN w:val="0"/>
        <w:adjustRightInd w:val="0"/>
        <w:spacing w:after="120" w:line="120" w:lineRule="atLeast"/>
        <w:jc w:val="both"/>
        <w:rPr>
          <w:rFonts w:ascii="Arial" w:eastAsia="Calibri" w:hAnsi="Arial" w:cs="Arial"/>
          <w:sz w:val="20"/>
          <w:szCs w:val="20"/>
        </w:rPr>
      </w:pPr>
      <w:r w:rsidRPr="008F3C9E">
        <w:rPr>
          <w:rFonts w:ascii="Arial" w:eastAsia="Calibri" w:hAnsi="Arial" w:cs="Arial"/>
          <w:sz w:val="20"/>
          <w:szCs w:val="20"/>
        </w:rPr>
        <w:t xml:space="preserve">distinction between acceptable and non-acceptable rating classes for the origination of the portfolio to be guaranteed and expected internal </w:t>
      </w:r>
      <w:proofErr w:type="gramStart"/>
      <w:r w:rsidRPr="008F3C9E">
        <w:rPr>
          <w:rFonts w:ascii="Arial" w:eastAsia="Calibri" w:hAnsi="Arial" w:cs="Arial"/>
          <w:sz w:val="20"/>
          <w:szCs w:val="20"/>
        </w:rPr>
        <w:t>rating ;</w:t>
      </w:r>
      <w:proofErr w:type="gramEnd"/>
    </w:p>
    <w:p w14:paraId="178C060B" w14:textId="0622AF59" w:rsidR="008F3C9E" w:rsidRPr="008F3C9E" w:rsidRDefault="008F3C9E" w:rsidP="008F3C9E">
      <w:pPr>
        <w:numPr>
          <w:ilvl w:val="0"/>
          <w:numId w:val="3"/>
        </w:numPr>
        <w:autoSpaceDE w:val="0"/>
        <w:autoSpaceDN w:val="0"/>
        <w:adjustRightInd w:val="0"/>
        <w:spacing w:after="120" w:line="120" w:lineRule="atLeast"/>
        <w:jc w:val="both"/>
        <w:rPr>
          <w:rFonts w:ascii="Arial" w:eastAsia="Calibri" w:hAnsi="Arial" w:cs="Arial"/>
          <w:sz w:val="20"/>
          <w:szCs w:val="20"/>
        </w:rPr>
      </w:pPr>
      <w:r w:rsidRPr="00BD6724">
        <w:rPr>
          <w:rFonts w:ascii="Arial" w:eastAsia="Calibri" w:hAnsi="Arial" w:cs="Arial"/>
          <w:sz w:val="20"/>
          <w:szCs w:val="20"/>
        </w:rPr>
        <w:lastRenderedPageBreak/>
        <w:t xml:space="preserve">maximum obligor concentration </w:t>
      </w:r>
      <w:r w:rsidR="00E629EC" w:rsidRPr="00BD6724">
        <w:rPr>
          <w:rFonts w:ascii="Arial" w:eastAsia="Calibri" w:hAnsi="Arial" w:cs="Arial"/>
          <w:sz w:val="20"/>
          <w:szCs w:val="20"/>
        </w:rPr>
        <w:t xml:space="preserve">(if applicable) </w:t>
      </w:r>
      <w:r w:rsidRPr="00BD6724">
        <w:rPr>
          <w:rFonts w:ascii="Arial" w:eastAsia="Calibri" w:hAnsi="Arial" w:cs="Arial"/>
          <w:sz w:val="20"/>
          <w:szCs w:val="20"/>
        </w:rPr>
        <w:t xml:space="preserve">and </w:t>
      </w:r>
      <w:r w:rsidR="00E629EC" w:rsidRPr="00BD6724">
        <w:rPr>
          <w:rFonts w:ascii="Arial" w:eastAsia="Calibri" w:hAnsi="Arial" w:cs="Arial"/>
          <w:sz w:val="20"/>
          <w:szCs w:val="20"/>
        </w:rPr>
        <w:t>region</w:t>
      </w:r>
      <w:r w:rsidRPr="00BD6724">
        <w:rPr>
          <w:rFonts w:ascii="Arial" w:eastAsia="Calibri" w:hAnsi="Arial" w:cs="Arial"/>
          <w:sz w:val="20"/>
          <w:szCs w:val="20"/>
        </w:rPr>
        <w:t>al distribution</w:t>
      </w:r>
      <w:r w:rsidR="00A15579" w:rsidRPr="00BD6724">
        <w:rPr>
          <w:rFonts w:ascii="Arial" w:eastAsia="Calibri" w:hAnsi="Arial" w:cs="Arial"/>
          <w:sz w:val="20"/>
          <w:szCs w:val="20"/>
        </w:rPr>
        <w:t xml:space="preserve"> (and</w:t>
      </w:r>
      <w:r w:rsidR="00A15579">
        <w:rPr>
          <w:rFonts w:ascii="Arial" w:eastAsia="Calibri" w:hAnsi="Arial" w:cs="Arial"/>
          <w:sz w:val="20"/>
          <w:szCs w:val="20"/>
        </w:rPr>
        <w:t xml:space="preserve"> any other relevant distribution metrics such as</w:t>
      </w:r>
      <w:r w:rsidR="00DA156A">
        <w:rPr>
          <w:rFonts w:ascii="Arial" w:eastAsia="Calibri" w:hAnsi="Arial" w:cs="Arial"/>
          <w:sz w:val="20"/>
          <w:szCs w:val="20"/>
        </w:rPr>
        <w:t xml:space="preserve"> economic sector, turnover, balance sheet total, number of employees….</w:t>
      </w:r>
      <w:proofErr w:type="gramStart"/>
      <w:r w:rsidR="00A15579">
        <w:rPr>
          <w:rFonts w:ascii="Arial" w:eastAsia="Calibri" w:hAnsi="Arial" w:cs="Arial"/>
          <w:sz w:val="20"/>
          <w:szCs w:val="20"/>
        </w:rPr>
        <w:t>)</w:t>
      </w:r>
      <w:r w:rsidRPr="008F3C9E">
        <w:rPr>
          <w:rFonts w:ascii="Arial" w:eastAsia="Calibri" w:hAnsi="Arial" w:cs="Arial"/>
          <w:sz w:val="20"/>
          <w:szCs w:val="20"/>
        </w:rPr>
        <w:t>;</w:t>
      </w:r>
      <w:proofErr w:type="gramEnd"/>
    </w:p>
    <w:p w14:paraId="67FE1DB9" w14:textId="77777777" w:rsidR="00DA203C" w:rsidRDefault="00DA203C" w:rsidP="00A91342">
      <w:pPr>
        <w:tabs>
          <w:tab w:val="left" w:pos="1512"/>
        </w:tabs>
        <w:autoSpaceDE w:val="0"/>
        <w:autoSpaceDN w:val="0"/>
        <w:adjustRightInd w:val="0"/>
        <w:spacing w:after="120" w:line="120" w:lineRule="atLeast"/>
        <w:jc w:val="both"/>
        <w:rPr>
          <w:rFonts w:ascii="Arial" w:eastAsia="Calibri" w:hAnsi="Arial" w:cs="Arial"/>
          <w:sz w:val="20"/>
          <w:szCs w:val="20"/>
        </w:rPr>
      </w:pPr>
    </w:p>
    <w:p w14:paraId="0C079E3D" w14:textId="77777777" w:rsidR="00132054" w:rsidRPr="0060362F" w:rsidRDefault="00132054" w:rsidP="00DA203C">
      <w:pPr>
        <w:tabs>
          <w:tab w:val="left" w:pos="1512"/>
        </w:tabs>
        <w:autoSpaceDE w:val="0"/>
        <w:autoSpaceDN w:val="0"/>
        <w:adjustRightInd w:val="0"/>
        <w:spacing w:after="120" w:line="120" w:lineRule="atLeast"/>
        <w:jc w:val="both"/>
        <w:rPr>
          <w:rFonts w:ascii="Arial" w:eastAsia="Calibri" w:hAnsi="Arial" w:cs="Arial"/>
          <w:sz w:val="20"/>
          <w:szCs w:val="20"/>
        </w:rPr>
      </w:pPr>
    </w:p>
    <w:p w14:paraId="1B4E4069" w14:textId="28878BC0" w:rsidR="00DA203C" w:rsidRPr="00DA203C" w:rsidRDefault="00A84AC4" w:rsidP="00DA203C">
      <w:pPr>
        <w:tabs>
          <w:tab w:val="left" w:pos="1512"/>
        </w:tabs>
        <w:autoSpaceDE w:val="0"/>
        <w:autoSpaceDN w:val="0"/>
        <w:adjustRightInd w:val="0"/>
        <w:spacing w:after="120" w:line="120" w:lineRule="atLeast"/>
        <w:jc w:val="both"/>
        <w:rPr>
          <w:rFonts w:ascii="Arial" w:eastAsia="Calibri" w:hAnsi="Arial" w:cs="Arial"/>
          <w:sz w:val="20"/>
          <w:szCs w:val="20"/>
          <w:u w:val="single"/>
          <w:lang w:val="en-GB"/>
        </w:rPr>
      </w:pPr>
      <w:r>
        <w:rPr>
          <w:rFonts w:ascii="Arial" w:eastAsia="Calibri" w:hAnsi="Arial" w:cs="Arial"/>
          <w:sz w:val="20"/>
          <w:szCs w:val="20"/>
          <w:lang w:val="en-GB"/>
        </w:rPr>
        <w:t>As a general comment</w:t>
      </w:r>
      <w:r w:rsidR="00DA203C" w:rsidRPr="00DA203C">
        <w:rPr>
          <w:rFonts w:ascii="Arial" w:eastAsia="Calibri" w:hAnsi="Arial" w:cs="Arial"/>
          <w:sz w:val="20"/>
          <w:szCs w:val="20"/>
          <w:lang w:val="en-GB"/>
        </w:rPr>
        <w:t xml:space="preserve">, </w:t>
      </w:r>
      <w:r w:rsidR="00DA203C" w:rsidRPr="00DA203C">
        <w:rPr>
          <w:rFonts w:ascii="Arial" w:eastAsia="Calibri" w:hAnsi="Arial" w:cs="Arial"/>
          <w:b/>
          <w:bCs/>
          <w:sz w:val="20"/>
          <w:szCs w:val="20"/>
          <w:u w:val="single"/>
          <w:lang w:val="en-GB"/>
        </w:rPr>
        <w:t>please make sure that no personal information subject to GDPR is contained in any loan-by-loan data sent over to the EIB</w:t>
      </w:r>
      <w:r w:rsidR="00DA156A">
        <w:rPr>
          <w:rFonts w:ascii="Arial" w:eastAsia="Calibri" w:hAnsi="Arial" w:cs="Arial"/>
          <w:b/>
          <w:bCs/>
          <w:sz w:val="20"/>
          <w:szCs w:val="20"/>
          <w:u w:val="single"/>
          <w:lang w:val="en-GB"/>
        </w:rPr>
        <w:t xml:space="preserve"> Group</w:t>
      </w:r>
      <w:r w:rsidR="00DA203C" w:rsidRPr="00DA203C">
        <w:rPr>
          <w:rFonts w:ascii="Arial" w:eastAsia="Calibri" w:hAnsi="Arial" w:cs="Arial"/>
          <w:sz w:val="20"/>
          <w:szCs w:val="20"/>
          <w:lang w:val="en-GB"/>
        </w:rPr>
        <w:t>.</w:t>
      </w:r>
    </w:p>
    <w:p w14:paraId="2409C31B" w14:textId="77777777" w:rsidR="00DA203C" w:rsidRPr="00A91342" w:rsidRDefault="00DA203C" w:rsidP="00A91342">
      <w:pPr>
        <w:tabs>
          <w:tab w:val="left" w:pos="1512"/>
        </w:tabs>
        <w:autoSpaceDE w:val="0"/>
        <w:autoSpaceDN w:val="0"/>
        <w:adjustRightInd w:val="0"/>
        <w:spacing w:after="120" w:line="120" w:lineRule="atLeast"/>
        <w:jc w:val="both"/>
        <w:rPr>
          <w:rFonts w:ascii="Arial" w:eastAsia="Calibri" w:hAnsi="Arial" w:cs="Arial"/>
          <w:sz w:val="20"/>
          <w:szCs w:val="20"/>
          <w:lang w:val="en-GB"/>
        </w:rPr>
      </w:pPr>
    </w:p>
    <w:p w14:paraId="258E96D0" w14:textId="77777777" w:rsidR="00735F3F" w:rsidRDefault="004E5CBF"/>
    <w:sectPr w:rsidR="00735F3F">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B8BE8" w14:textId="77777777" w:rsidR="00034F87" w:rsidRDefault="00034F87" w:rsidP="008F3C9E">
      <w:pPr>
        <w:spacing w:after="0" w:line="240" w:lineRule="auto"/>
      </w:pPr>
      <w:r>
        <w:separator/>
      </w:r>
    </w:p>
  </w:endnote>
  <w:endnote w:type="continuationSeparator" w:id="0">
    <w:p w14:paraId="15B12732" w14:textId="77777777" w:rsidR="00034F87" w:rsidRDefault="00034F87" w:rsidP="008F3C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61D1B" w14:textId="77777777" w:rsidR="00034F87" w:rsidRDefault="00034F87" w:rsidP="008F3C9E">
      <w:pPr>
        <w:spacing w:after="0" w:line="240" w:lineRule="auto"/>
      </w:pPr>
      <w:r>
        <w:separator/>
      </w:r>
    </w:p>
  </w:footnote>
  <w:footnote w:type="continuationSeparator" w:id="0">
    <w:p w14:paraId="594B17E2" w14:textId="77777777" w:rsidR="00034F87" w:rsidRDefault="00034F87" w:rsidP="008F3C9E">
      <w:pPr>
        <w:spacing w:after="0" w:line="240" w:lineRule="auto"/>
      </w:pPr>
      <w:r>
        <w:continuationSeparator/>
      </w:r>
    </w:p>
  </w:footnote>
  <w:footnote w:id="1">
    <w:p w14:paraId="023BDC00" w14:textId="40413C1F" w:rsidR="008F3C9E" w:rsidRPr="0086431C" w:rsidRDefault="008F3C9E" w:rsidP="008F3C9E">
      <w:pPr>
        <w:pStyle w:val="FootnoteText"/>
        <w:rPr>
          <w:rFonts w:cs="Arial"/>
          <w:sz w:val="16"/>
          <w:szCs w:val="16"/>
        </w:rPr>
      </w:pPr>
      <w:r w:rsidRPr="0086431C">
        <w:rPr>
          <w:rStyle w:val="FootnoteReference"/>
          <w:rFonts w:cs="Arial"/>
          <w:sz w:val="16"/>
          <w:szCs w:val="16"/>
        </w:rPr>
        <w:footnoteRef/>
      </w:r>
      <w:r w:rsidRPr="0086431C">
        <w:rPr>
          <w:rFonts w:cs="Arial"/>
          <w:sz w:val="16"/>
          <w:szCs w:val="16"/>
        </w:rPr>
        <w:t xml:space="preserve"> Relevant Financial Beneficiaries (RFB) are eligible Final Beneficiaries targeted for the specific operation</w:t>
      </w:r>
      <w:r w:rsidR="00A93A29">
        <w:rPr>
          <w:rFonts w:cs="Arial"/>
          <w:sz w:val="16"/>
          <w:szCs w:val="16"/>
        </w:rPr>
        <w:t xml:space="preserve"> i.e. </w:t>
      </w:r>
      <w:r w:rsidR="00BF267A">
        <w:rPr>
          <w:rFonts w:cs="Arial"/>
          <w:sz w:val="16"/>
          <w:szCs w:val="16"/>
        </w:rPr>
        <w:t xml:space="preserve"> SMEs in Ireland excluding Northern </w:t>
      </w:r>
      <w:proofErr w:type="spellStart"/>
      <w:r w:rsidR="00BF267A">
        <w:rPr>
          <w:rFonts w:cs="Arial"/>
          <w:sz w:val="16"/>
          <w:szCs w:val="16"/>
        </w:rPr>
        <w:t>Irleand</w:t>
      </w:r>
      <w:proofErr w:type="spellEnd"/>
      <w:r w:rsidR="00A93A29">
        <w:rPr>
          <w:rFonts w:cs="Arial"/>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2F1443"/>
    <w:multiLevelType w:val="hybridMultilevel"/>
    <w:tmpl w:val="ECC62346"/>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1" w15:restartNumberingAfterBreak="0">
    <w:nsid w:val="225F6099"/>
    <w:multiLevelType w:val="hybridMultilevel"/>
    <w:tmpl w:val="185CC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0265DB"/>
    <w:multiLevelType w:val="hybridMultilevel"/>
    <w:tmpl w:val="FE664A2A"/>
    <w:lvl w:ilvl="0" w:tplc="C554B9CC">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BE0AFC"/>
    <w:multiLevelType w:val="hybridMultilevel"/>
    <w:tmpl w:val="BE844CE2"/>
    <w:lvl w:ilvl="0" w:tplc="DD00DF20">
      <w:start w:val="1"/>
      <w:numFmt w:val="lowerRoman"/>
      <w:lvlText w:val="%1."/>
      <w:lvlJc w:val="right"/>
      <w:pPr>
        <w:ind w:left="1080" w:hanging="360"/>
      </w:pPr>
      <w:rPr>
        <w:rFonts w:ascii="Arial" w:hAnsi="Arial" w:cs="Arial" w:hint="default"/>
      </w:rPr>
    </w:lvl>
    <w:lvl w:ilvl="1" w:tplc="C554B9CC">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4160C71"/>
    <w:multiLevelType w:val="hybridMultilevel"/>
    <w:tmpl w:val="1F36E5E8"/>
    <w:lvl w:ilvl="0" w:tplc="08090001">
      <w:start w:val="1"/>
      <w:numFmt w:val="bullet"/>
      <w:lvlText w:val=""/>
      <w:lvlJc w:val="left"/>
      <w:pPr>
        <w:ind w:left="786" w:hanging="360"/>
      </w:pPr>
      <w:rPr>
        <w:rFonts w:ascii="Symbol" w:hAnsi="Symbol" w:hint="default"/>
      </w:rPr>
    </w:lvl>
    <w:lvl w:ilvl="1" w:tplc="08090003">
      <w:start w:val="1"/>
      <w:numFmt w:val="bullet"/>
      <w:lvlText w:val="o"/>
      <w:lvlJc w:val="left"/>
      <w:pPr>
        <w:ind w:left="1506" w:hanging="360"/>
      </w:pPr>
      <w:rPr>
        <w:rFonts w:ascii="Courier New" w:hAnsi="Courier New" w:cs="Courier New" w:hint="default"/>
      </w:rPr>
    </w:lvl>
    <w:lvl w:ilvl="2" w:tplc="08090005">
      <w:start w:val="1"/>
      <w:numFmt w:val="bullet"/>
      <w:lvlText w:val=""/>
      <w:lvlJc w:val="left"/>
      <w:pPr>
        <w:ind w:left="2226" w:hanging="360"/>
      </w:pPr>
      <w:rPr>
        <w:rFonts w:ascii="Wingdings" w:hAnsi="Wingdings" w:hint="default"/>
      </w:rPr>
    </w:lvl>
    <w:lvl w:ilvl="3" w:tplc="08090001">
      <w:start w:val="1"/>
      <w:numFmt w:val="bullet"/>
      <w:lvlText w:val=""/>
      <w:lvlJc w:val="left"/>
      <w:pPr>
        <w:ind w:left="2946" w:hanging="360"/>
      </w:pPr>
      <w:rPr>
        <w:rFonts w:ascii="Symbol" w:hAnsi="Symbol" w:hint="default"/>
      </w:rPr>
    </w:lvl>
    <w:lvl w:ilvl="4" w:tplc="08090003">
      <w:start w:val="1"/>
      <w:numFmt w:val="bullet"/>
      <w:lvlText w:val="o"/>
      <w:lvlJc w:val="left"/>
      <w:pPr>
        <w:ind w:left="3666" w:hanging="360"/>
      </w:pPr>
      <w:rPr>
        <w:rFonts w:ascii="Courier New" w:hAnsi="Courier New" w:cs="Courier New" w:hint="default"/>
      </w:rPr>
    </w:lvl>
    <w:lvl w:ilvl="5" w:tplc="08090005">
      <w:start w:val="1"/>
      <w:numFmt w:val="bullet"/>
      <w:lvlText w:val=""/>
      <w:lvlJc w:val="left"/>
      <w:pPr>
        <w:ind w:left="4386" w:hanging="360"/>
      </w:pPr>
      <w:rPr>
        <w:rFonts w:ascii="Wingdings" w:hAnsi="Wingdings" w:hint="default"/>
      </w:rPr>
    </w:lvl>
    <w:lvl w:ilvl="6" w:tplc="08090001">
      <w:start w:val="1"/>
      <w:numFmt w:val="bullet"/>
      <w:lvlText w:val=""/>
      <w:lvlJc w:val="left"/>
      <w:pPr>
        <w:ind w:left="5106" w:hanging="360"/>
      </w:pPr>
      <w:rPr>
        <w:rFonts w:ascii="Symbol" w:hAnsi="Symbol" w:hint="default"/>
      </w:rPr>
    </w:lvl>
    <w:lvl w:ilvl="7" w:tplc="08090003">
      <w:start w:val="1"/>
      <w:numFmt w:val="bullet"/>
      <w:lvlText w:val="o"/>
      <w:lvlJc w:val="left"/>
      <w:pPr>
        <w:ind w:left="5826" w:hanging="360"/>
      </w:pPr>
      <w:rPr>
        <w:rFonts w:ascii="Courier New" w:hAnsi="Courier New" w:cs="Courier New" w:hint="default"/>
      </w:rPr>
    </w:lvl>
    <w:lvl w:ilvl="8" w:tplc="08090005">
      <w:start w:val="1"/>
      <w:numFmt w:val="bullet"/>
      <w:lvlText w:val=""/>
      <w:lvlJc w:val="left"/>
      <w:pPr>
        <w:ind w:left="6546" w:hanging="360"/>
      </w:pPr>
      <w:rPr>
        <w:rFonts w:ascii="Wingdings" w:hAnsi="Wingdings" w:hint="default"/>
      </w:rPr>
    </w:lvl>
  </w:abstractNum>
  <w:abstractNum w:abstractNumId="5" w15:restartNumberingAfterBreak="0">
    <w:nsid w:val="57D709AE"/>
    <w:multiLevelType w:val="hybridMultilevel"/>
    <w:tmpl w:val="7AD6FFA0"/>
    <w:lvl w:ilvl="0" w:tplc="561CD58E">
      <w:start w:val="1"/>
      <w:numFmt w:val="bullet"/>
      <w:lvlText w:val=""/>
      <w:lvlJc w:val="left"/>
      <w:pPr>
        <w:ind w:left="360" w:hanging="360"/>
      </w:pPr>
      <w:rPr>
        <w:rFonts w:ascii="Symbol" w:hAnsi="Symbol" w:hint="default"/>
        <w:color w:val="auto"/>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D026142"/>
    <w:multiLevelType w:val="hybridMultilevel"/>
    <w:tmpl w:val="72685E20"/>
    <w:lvl w:ilvl="0" w:tplc="08090013">
      <w:start w:val="1"/>
      <w:numFmt w:val="upperRoman"/>
      <w:lvlText w:val="%1."/>
      <w:lvlJc w:val="right"/>
      <w:pPr>
        <w:ind w:left="521" w:hanging="360"/>
      </w:pPr>
    </w:lvl>
    <w:lvl w:ilvl="1" w:tplc="08090019">
      <w:start w:val="1"/>
      <w:numFmt w:val="lowerLetter"/>
      <w:lvlText w:val="%2."/>
      <w:lvlJc w:val="left"/>
      <w:pPr>
        <w:ind w:left="1241" w:hanging="360"/>
      </w:pPr>
    </w:lvl>
    <w:lvl w:ilvl="2" w:tplc="0809001B" w:tentative="1">
      <w:start w:val="1"/>
      <w:numFmt w:val="lowerRoman"/>
      <w:lvlText w:val="%3."/>
      <w:lvlJc w:val="right"/>
      <w:pPr>
        <w:ind w:left="1961" w:hanging="180"/>
      </w:pPr>
    </w:lvl>
    <w:lvl w:ilvl="3" w:tplc="0809000F" w:tentative="1">
      <w:start w:val="1"/>
      <w:numFmt w:val="decimal"/>
      <w:lvlText w:val="%4."/>
      <w:lvlJc w:val="left"/>
      <w:pPr>
        <w:ind w:left="2681" w:hanging="360"/>
      </w:pPr>
    </w:lvl>
    <w:lvl w:ilvl="4" w:tplc="08090019" w:tentative="1">
      <w:start w:val="1"/>
      <w:numFmt w:val="lowerLetter"/>
      <w:lvlText w:val="%5."/>
      <w:lvlJc w:val="left"/>
      <w:pPr>
        <w:ind w:left="3401" w:hanging="360"/>
      </w:pPr>
    </w:lvl>
    <w:lvl w:ilvl="5" w:tplc="0809001B" w:tentative="1">
      <w:start w:val="1"/>
      <w:numFmt w:val="lowerRoman"/>
      <w:lvlText w:val="%6."/>
      <w:lvlJc w:val="right"/>
      <w:pPr>
        <w:ind w:left="4121" w:hanging="180"/>
      </w:pPr>
    </w:lvl>
    <w:lvl w:ilvl="6" w:tplc="0809000F" w:tentative="1">
      <w:start w:val="1"/>
      <w:numFmt w:val="decimal"/>
      <w:lvlText w:val="%7."/>
      <w:lvlJc w:val="left"/>
      <w:pPr>
        <w:ind w:left="4841" w:hanging="360"/>
      </w:pPr>
    </w:lvl>
    <w:lvl w:ilvl="7" w:tplc="08090019" w:tentative="1">
      <w:start w:val="1"/>
      <w:numFmt w:val="lowerLetter"/>
      <w:lvlText w:val="%8."/>
      <w:lvlJc w:val="left"/>
      <w:pPr>
        <w:ind w:left="5561" w:hanging="360"/>
      </w:pPr>
    </w:lvl>
    <w:lvl w:ilvl="8" w:tplc="0809001B" w:tentative="1">
      <w:start w:val="1"/>
      <w:numFmt w:val="lowerRoman"/>
      <w:lvlText w:val="%9."/>
      <w:lvlJc w:val="right"/>
      <w:pPr>
        <w:ind w:left="6281" w:hanging="180"/>
      </w:pPr>
    </w:lvl>
  </w:abstractNum>
  <w:abstractNum w:abstractNumId="7" w15:restartNumberingAfterBreak="0">
    <w:nsid w:val="6DCC7EE3"/>
    <w:multiLevelType w:val="hybridMultilevel"/>
    <w:tmpl w:val="604CC094"/>
    <w:lvl w:ilvl="0" w:tplc="0809001B">
      <w:start w:val="1"/>
      <w:numFmt w:val="lowerRoman"/>
      <w:lvlText w:val="%1."/>
      <w:lvlJc w:val="right"/>
      <w:pPr>
        <w:ind w:left="720" w:hanging="360"/>
      </w:pPr>
      <w:rPr>
        <w:rFonts w:hint="default"/>
      </w:rPr>
    </w:lvl>
    <w:lvl w:ilvl="1" w:tplc="C554B9CC">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1"/>
  </w:num>
  <w:num w:numId="5">
    <w:abstractNumId w:val="6"/>
  </w:num>
  <w:num w:numId="6">
    <w:abstractNumId w:val="7"/>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C9E"/>
    <w:rsid w:val="0000283B"/>
    <w:rsid w:val="00034F87"/>
    <w:rsid w:val="00132054"/>
    <w:rsid w:val="00146673"/>
    <w:rsid w:val="001758E8"/>
    <w:rsid w:val="001F7EF7"/>
    <w:rsid w:val="00235EA5"/>
    <w:rsid w:val="00244BA7"/>
    <w:rsid w:val="00280A5B"/>
    <w:rsid w:val="002E37F7"/>
    <w:rsid w:val="003A4752"/>
    <w:rsid w:val="003E32C9"/>
    <w:rsid w:val="00433139"/>
    <w:rsid w:val="00444E91"/>
    <w:rsid w:val="004A0C7B"/>
    <w:rsid w:val="004E5CBF"/>
    <w:rsid w:val="00533330"/>
    <w:rsid w:val="00601DFD"/>
    <w:rsid w:val="0060362F"/>
    <w:rsid w:val="006970C0"/>
    <w:rsid w:val="006D1AB3"/>
    <w:rsid w:val="006F46F2"/>
    <w:rsid w:val="006F490A"/>
    <w:rsid w:val="00766455"/>
    <w:rsid w:val="007E4808"/>
    <w:rsid w:val="007E645C"/>
    <w:rsid w:val="008F3C9E"/>
    <w:rsid w:val="00961FCF"/>
    <w:rsid w:val="009C60F2"/>
    <w:rsid w:val="00A00F5B"/>
    <w:rsid w:val="00A15579"/>
    <w:rsid w:val="00A47D75"/>
    <w:rsid w:val="00A84AC4"/>
    <w:rsid w:val="00A91342"/>
    <w:rsid w:val="00A93A29"/>
    <w:rsid w:val="00BD6724"/>
    <w:rsid w:val="00BE1CE7"/>
    <w:rsid w:val="00BF267A"/>
    <w:rsid w:val="00C65A17"/>
    <w:rsid w:val="00C7633E"/>
    <w:rsid w:val="00C80F36"/>
    <w:rsid w:val="00C92A6A"/>
    <w:rsid w:val="00CA2627"/>
    <w:rsid w:val="00CB3C29"/>
    <w:rsid w:val="00CC1997"/>
    <w:rsid w:val="00D6046F"/>
    <w:rsid w:val="00D60535"/>
    <w:rsid w:val="00D66A0D"/>
    <w:rsid w:val="00D82831"/>
    <w:rsid w:val="00DA156A"/>
    <w:rsid w:val="00DA203C"/>
    <w:rsid w:val="00E629EC"/>
    <w:rsid w:val="00F42AF1"/>
    <w:rsid w:val="00F80A5A"/>
    <w:rsid w:val="00F94F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6A200D3"/>
  <w15:chartTrackingRefBased/>
  <w15:docId w15:val="{15269847-8AD1-48BD-B820-7D0C7DEFB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F3C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3C9E"/>
    <w:rPr>
      <w:sz w:val="20"/>
      <w:szCs w:val="20"/>
    </w:rPr>
  </w:style>
  <w:style w:type="character" w:styleId="FootnoteReference">
    <w:name w:val="footnote reference"/>
    <w:aliases w:val=" BVI fnr,(Footnote Reference),16 Point,BVI fnr,Exposant 3 Point,Footnote Reference1,Footnote call,Footnote reference number,Footnote symbol,Ref,SUPERS,Times 10 Point,Voetnootverwijzing,de nota al pie,note TESI,number,stylish"/>
    <w:uiPriority w:val="99"/>
    <w:qFormat/>
    <w:rsid w:val="008F3C9E"/>
    <w:rPr>
      <w:vertAlign w:val="superscript"/>
    </w:rPr>
  </w:style>
  <w:style w:type="paragraph" w:styleId="BalloonText">
    <w:name w:val="Balloon Text"/>
    <w:basedOn w:val="Normal"/>
    <w:link w:val="BalloonTextChar"/>
    <w:uiPriority w:val="99"/>
    <w:semiHidden/>
    <w:unhideWhenUsed/>
    <w:rsid w:val="00A93A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3A29"/>
    <w:rPr>
      <w:rFonts w:ascii="Segoe UI" w:hAnsi="Segoe UI" w:cs="Segoe UI"/>
      <w:sz w:val="18"/>
      <w:szCs w:val="18"/>
    </w:rPr>
  </w:style>
  <w:style w:type="character" w:styleId="CommentReference">
    <w:name w:val="annotation reference"/>
    <w:basedOn w:val="DefaultParagraphFont"/>
    <w:uiPriority w:val="99"/>
    <w:semiHidden/>
    <w:unhideWhenUsed/>
    <w:rsid w:val="001758E8"/>
    <w:rPr>
      <w:sz w:val="16"/>
      <w:szCs w:val="16"/>
    </w:rPr>
  </w:style>
  <w:style w:type="paragraph" w:styleId="CommentText">
    <w:name w:val="annotation text"/>
    <w:basedOn w:val="Normal"/>
    <w:link w:val="CommentTextChar"/>
    <w:uiPriority w:val="99"/>
    <w:semiHidden/>
    <w:unhideWhenUsed/>
    <w:rsid w:val="001758E8"/>
    <w:pPr>
      <w:spacing w:line="240" w:lineRule="auto"/>
    </w:pPr>
    <w:rPr>
      <w:sz w:val="20"/>
      <w:szCs w:val="20"/>
    </w:rPr>
  </w:style>
  <w:style w:type="character" w:customStyle="1" w:styleId="CommentTextChar">
    <w:name w:val="Comment Text Char"/>
    <w:basedOn w:val="DefaultParagraphFont"/>
    <w:link w:val="CommentText"/>
    <w:uiPriority w:val="99"/>
    <w:semiHidden/>
    <w:rsid w:val="001758E8"/>
    <w:rPr>
      <w:sz w:val="20"/>
      <w:szCs w:val="20"/>
    </w:rPr>
  </w:style>
  <w:style w:type="paragraph" w:styleId="CommentSubject">
    <w:name w:val="annotation subject"/>
    <w:basedOn w:val="CommentText"/>
    <w:next w:val="CommentText"/>
    <w:link w:val="CommentSubjectChar"/>
    <w:uiPriority w:val="99"/>
    <w:semiHidden/>
    <w:unhideWhenUsed/>
    <w:rsid w:val="001758E8"/>
    <w:rPr>
      <w:b/>
      <w:bCs/>
    </w:rPr>
  </w:style>
  <w:style w:type="character" w:customStyle="1" w:styleId="CommentSubjectChar">
    <w:name w:val="Comment Subject Char"/>
    <w:basedOn w:val="CommentTextChar"/>
    <w:link w:val="CommentSubject"/>
    <w:uiPriority w:val="99"/>
    <w:semiHidden/>
    <w:rsid w:val="001758E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822289">
      <w:bodyDiv w:val="1"/>
      <w:marLeft w:val="0"/>
      <w:marRight w:val="0"/>
      <w:marTop w:val="0"/>
      <w:marBottom w:val="0"/>
      <w:divBdr>
        <w:top w:val="none" w:sz="0" w:space="0" w:color="auto"/>
        <w:left w:val="none" w:sz="0" w:space="0" w:color="auto"/>
        <w:bottom w:val="none" w:sz="0" w:space="0" w:color="auto"/>
        <w:right w:val="none" w:sz="0" w:space="0" w:color="auto"/>
      </w:divBdr>
    </w:div>
    <w:div w:id="1998265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olfsberg-principles.com/sites/default/files/wb/FCCQ_V1.1_SC07_Final_version_16APR2020.xls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1576</Words>
  <Characters>8988</Characters>
  <Application>Microsoft Office Word</Application>
  <DocSecurity>4</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European Investment Bank</Company>
  <LinksUpToDate>false</LinksUpToDate>
  <CharactersWithSpaces>10543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FUCHS Theda</dc:creator>
  <cp:keywords/>
  <dc:description/>
  <cp:lastModifiedBy>Conor O'Brien</cp:lastModifiedBy>
  <cp:revision>2</cp:revision>
  <dcterms:created xsi:type="dcterms:W3CDTF">2023-02-01T12:59:00Z</dcterms:created>
  <dcterms:modified xsi:type="dcterms:W3CDTF">2023-02-01T12:59:00Z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958254038</vt:i4>
  </property>
  <property fmtid="{D5CDD505-2E9C-101B-9397-08002B2CF9AE}" pid="3" name="_NewReviewCycle">
    <vt:lpwstr/>
  </property>
  <property fmtid="{D5CDD505-2E9C-101B-9397-08002B2CF9AE}" pid="4" name="_EmailSubject">
    <vt:lpwstr>Departmental GSLS series 2  weekly meeting</vt:lpwstr>
  </property>
  <property fmtid="{D5CDD505-2E9C-101B-9397-08002B2CF9AE}" pid="5" name="_AuthorEmail">
    <vt:lpwstr>Aisling.McGovern@sbci.gov.ie</vt:lpwstr>
  </property>
  <property fmtid="{D5CDD505-2E9C-101B-9397-08002B2CF9AE}" pid="6" name="_AuthorEmailDisplayName">
    <vt:lpwstr>Aisling McGovern</vt:lpwstr>
  </property>
</Properties>
</file>